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17,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17, 2024, Motorsport Games Inc., a Delaware corporation (the “Company”), entered into a Settlement Agreement and License (the “Agreement”) with INDYCAR, LLC, an Indiana limited liability company (“INDYCAR”). The Agreement resolved any and all disputes between the Company and INDYCAR with respect to the termination of (i) the License Agreement, dated July 13, 2021, by and between INDYCAR and the Company with respect to INDYCAR SERIES racing series related gaming products (the “IndyCar Products License”) and (ii) the License Agreement, dated July 13, 2021, by and between INDYCAR and the Company with respect to INDYCAR SERIES racing series related esports events (the “IndyCar Events License,” together with the IndyCar Products License, the “Prior License Agreements”). As previously disclosed by the Company on its Current Report on Form 8-K filed on November 14, 2023, the Prior License Agreements were terminated effective as of November 8, 2023. Pursuant to the Agreement, subject to the satisfaction of the conditions to the effectiveness of the Agreement (as described below), the Company and INDYCAR agreed that the Company’s liabilities under the Prior License Agreements, including any and all royalties and/or any other sums or liabilities of any kind whatsoever were forgiven by INDYCAR and discharged in their entirety in consideration of the Company’s payment to INDYCAR of $250,000 on the date of the Agreement and $150,000 within 30 days following the date of execution of the Agreement. The Agreement becomes effective upon satisfaction of (i) the Company’s payment to INDYCAR of $250,000 on the date of the Agreement and (ii) the Company’s payment of $150,000 to INDYCAR within 30 days following the date of execution of the Agreement. Both $250,000 and $150,000 have been paid to INDYCAR by the Company and the Agreement is in effect as of the date of this Current Report on Form 8-K.</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of the effective date of the Agreement, the Company granted to INDYCAR a royalty-free, perpetual, irrevocable, exclusive, transferable, and sublicensable, right and license throughout the world (the “License”) to use the licensed intellectual property described in the Agreement (the “Licensed Intellectual Property”) for the purpose of developing, marketing, distributing and selling esports series and esports events related to, themed as, or containing the INDYCAR SERIES racing series and/or motorsports and/or racing (including without limitation simulation style) video gaming products related to, themed as or containing the INDYCAR SERIES racing series, on current and future versions of consoles, PCs, smart TVs, mobile applications, gaming subscription services, cloud gaming, cloud streaming, handheld products and other new generation formats. In addition, the Company agreed to provide INDYCAR from the effective date of the Agreement to December 31, 2024, upon request by INDYCAR, with up to 50 hours free-of-charge consulting services to facilitate the transition of the INDYCAR series game development using the Licensed Intellectual Property to the software developer of INDYCAR’s choice.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Agreement is intended as a summary only and is qualified in its entirety by the terms and conditions set forth therein. Copy of the Agreements is attached hereto as Exhibit 10.1 and is incorporated herein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by the Company on November 22, 2023, the Nasdaq Stock Market LLC (“Nasdaq”) notified the Company on November 17, 2023 that the Company was not in compliance with the minimum stockholders’ equity requirement of at least $2,500,000 for continued inclusion on The Nasdaq Capital Market pursuant to Nasdaq Listing Rule 5550(b)(1) (the “NCM Equity Rule”). In the Company’s Quarterly Report on Form 10-Q for the quarter ended September 30, 2023, the Company reported stockholders’ equity of $498,897, which was below the NCM Equity Rule’s stockholders’ equity threshold. Additionally, the Company did not meet either of the alternative Nasdaq continued listing standards under the Nasdaq Listing Rules, which include (i) a market value of listed securities of at least $35 million or (ii)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by the Company on February 6, 2024 (the “February 8-K”), on February 5, 2024, Nasdaq notified the Company that, based on Nasdaq’s review of the Company and the materials submitted by the Company to Nasdaq, Nasdaq’s staff granted to the Company an extension to regain compliance with the NCM Equity Rule until May 15, 2024, subject to the Company’s regaining and evidencing compliance with the NCM Equity Rule by such date. The February 8-K disclosed that, in the event the Company did not regain and evidence compliance with the NCM Equity Rule by May 15, 2024, Nasdaq’s staff would provide written notification to the Company that its securities may be subject to delisting. Further, if the Company fails to evidence compliance upon filing its periodic report for June 30, 2024, with the SEC and Nasdaq the Company may be subject to delisting. At that time, the Company may appeal Nasdaq’s staff’s determination to a Listing Qualifications Panel. The February 8-K disclosed, without any assurances, that, to regain compliance with the NCM Equity Rule, the Company planned to negotiate and implement equity financing transactions and negotiate reductions of its licensing liabilities.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To regain compliance with the NCM Equity Rule, the Company entered into the Agreement disclosed and summarized in Item 1.01 of this Current Report on Form 8-K. Item 1.01 of this Current Report on Form 8-K is incorporated herein by this reference. Pursuant to the Agreement, the Company’s liability to INDYCAR, LLC in the amount of approximately $2.9 million was settled for $400,000, which resulted in a gain of approximately $2.5 million, which in turn resulted in a $2.5 million increase to the Company’s stockholders’ equity. Accordingly, as of the date of this Current Report on Form 8-K, the Company believes that it has regained compliance with the stockholders’ equity requirement based upon the settlement with INDYCAR that resulted in a $2.5 million increase to the Company’s stockholders’ equity, as described and disclosed in Current Report on Form 8-K.</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Nasdaq will continue to monitor the Company’s ongoing compliance with the NCM Equity Rule and, if at the time of its next periodic report the Company does not evidence compliance, it may be subject to delisting. In addition, if the Company fails to evidence compliance upon filing its periodic report for the June 30, 2024, the Company may be subject to delisting.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“safe harbor” provisions of the Private Securities Litigation Reform Act of 1995. All statements other than those that are purely historical are forward-looking statements. Words such as “expect,” “anticipate,” “believe,” “estimate,” “intend,” “plan,” “project,” and similar expressions also identify forward looking statements. Forward-looking statements include, but are not limited to statements concerning the Company’s future financial performance, whether the Company will maintain compliance with the NCM Equity Rule and/or whether the Company will be able to evidence compliance upon filing of its quarterly periodic report for period ending June 30, 2024. 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(i) the Company’s ability to obtain equity financing arrangements or similar transactions; (ii) Nasdaq’s acceptance of evidence of compliance; or (iii) the Company’s ability to otherwise maintain compliance with any other continued listing requirement of The Nasdaq Capital Market. Additional information regarding risks and uncertainties associated with the Company’s business and a discussion of some of the factors that may cause actual results to differ materially from the results expressed or implied by such forward-looking statements can be found in the Company’s filings with the Securities and Exchange Commission (the “SEC”), including the “Risk Factors” and “Management’s Discussion and Analysis of Financial Condition and Results of Operations” sections of the Company’s Annual Report on Form 10-K for the fiscal year ended December 31, 2023, its Quarterly Reports on Form 10-Q filed with the SEC during 2024, as well as in its subsequent filings with the SEC. These forward-looking statements are based on information as of the date hereof, and the Company assumes no obligation to publicly update or revise its forward-looking statements even if experience or future changes make it clear that any projected results expressed or implied therein will not be realized.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Settlement Agreement and License, dated as of May 17, 2024, between the Company and INDYCAR, LLC</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that the Company treats as private or confidential.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23,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Hood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Settlement Agreement and License, dated as of May 17, 2024, between the Company and INDYCAR, LLC</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7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00" w:type="dxa"/>
            <w:vAlign w:val="bottom"/>
          </w:tcPr>
          <w:p>
            <w:pPr>
              <w:spacing w:after="0"/>
              <w:rPr>
                <w:sz w:val="24"/>
                <w:szCs w:val="24"/>
                <w:color w:val="auto"/>
              </w:rPr>
            </w:pPr>
          </w:p>
        </w:tc>
      </w:tr>
    </w:tbl>
    <w:p>
      <w:pPr>
        <w:spacing w:after="0" w:line="198" w:lineRule="exact"/>
        <w:rPr>
          <w:sz w:val="20"/>
          <w:szCs w:val="20"/>
          <w:color w:val="auto"/>
        </w:rPr>
      </w:pPr>
    </w:p>
    <w:p>
      <w:pPr>
        <w:ind w:firstLine="8"/>
        <w:spacing w:after="0" w:line="282" w:lineRule="auto"/>
        <w:tabs>
          <w:tab w:leader="none" w:pos="1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that the Company treats as private or confidential.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2760" w:right="140" w:hanging="2606"/>
        <w:spacing w:after="0" w:line="286" w:lineRule="auto"/>
        <w:tabs>
          <w:tab w:leader="none" w:pos="594"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Certain information in this document has been excluded pursuant to Regulation S-K, Item (601)(b)(10). Such excluded information is not material and is the type that the Company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 AND LICENSE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Settlement Agreement and License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executed as of May 17, 2024, but shall not be effective until the date on which both of the conditions in Section 1.b have been fully satisfied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w:t>
      </w:r>
    </w:p>
    <w:p>
      <w:pPr>
        <w:spacing w:after="0" w:line="162" w:lineRule="exact"/>
        <w:rPr>
          <w:sz w:val="20"/>
          <w:szCs w:val="20"/>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Motorsport Games Inc., a Delaware corporation located at 5972 NE 4th Avenue, Miami, Florida 33137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INDYCAR, LLC, an Indiana limited liability company located at 4551 W. 16th Street, Indianapolis, Indiana 46222 (“</w:t>
      </w:r>
      <w:r>
        <w:rPr>
          <w:rFonts w:ascii="Times New Roman" w:cs="Times New Roman" w:eastAsia="Times New Roman" w:hAnsi="Times New Roman"/>
          <w:sz w:val="18"/>
          <w:szCs w:val="18"/>
          <w:u w:val="single" w:color="auto"/>
          <w:color w:val="auto"/>
        </w:rPr>
        <w:t>INDYCAR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INDYCAR are sometimes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Company and INDYCAR entered into a Confidentiality Agreement effective as of July 6, 2021 prior to execution of the INDYCAR License Agreements (as defined below) and the parties have no existing obligations under such Confidentiality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Company and INDYCAR entered into (i) the License Agreement, dated July 13, 2021, by and between INDYCAR and the Company with respect to INDYCAR SERIES racing series related gaming products (the “</w:t>
      </w:r>
      <w:r>
        <w:rPr>
          <w:rFonts w:ascii="Times New Roman" w:cs="Times New Roman" w:eastAsia="Times New Roman" w:hAnsi="Times New Roman"/>
          <w:sz w:val="18"/>
          <w:szCs w:val="18"/>
          <w:u w:val="single" w:color="auto"/>
          <w:color w:val="auto"/>
        </w:rPr>
        <w:t>IndyCar Products License</w:t>
      </w:r>
      <w:r>
        <w:rPr>
          <w:rFonts w:ascii="Times New Roman" w:cs="Times New Roman" w:eastAsia="Times New Roman" w:hAnsi="Times New Roman"/>
          <w:sz w:val="18"/>
          <w:szCs w:val="18"/>
          <w:color w:val="auto"/>
        </w:rPr>
        <w:t>”) and (ii) the License Agreement, dated July 13, 2021, by and between INDYCAR and the Company with respect to INDYCAR SERIES racing series related esports events (the “</w:t>
      </w:r>
      <w:r>
        <w:rPr>
          <w:rFonts w:ascii="Times New Roman" w:cs="Times New Roman" w:eastAsia="Times New Roman" w:hAnsi="Times New Roman"/>
          <w:sz w:val="18"/>
          <w:szCs w:val="18"/>
          <w:u w:val="single" w:color="auto"/>
          <w:color w:val="auto"/>
        </w:rPr>
        <w:t>IndyCar Events License</w:t>
      </w:r>
      <w:r>
        <w:rPr>
          <w:rFonts w:ascii="Times New Roman" w:cs="Times New Roman" w:eastAsia="Times New Roman" w:hAnsi="Times New Roman"/>
          <w:sz w:val="18"/>
          <w:szCs w:val="18"/>
          <w:color w:val="auto"/>
        </w:rPr>
        <w:t>,” together with the IndyCar Products License, the “</w:t>
      </w:r>
      <w:r>
        <w:rPr>
          <w:rFonts w:ascii="Times New Roman" w:cs="Times New Roman" w:eastAsia="Times New Roman" w:hAnsi="Times New Roman"/>
          <w:sz w:val="18"/>
          <w:szCs w:val="18"/>
          <w:u w:val="single" w:color="auto"/>
          <w:color w:val="auto"/>
        </w:rPr>
        <w:t>INDYCAR License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Pursuant to the INDYCAR License Agreements, the Company was granted a license to use certain licensed intellectual property for esports events and motorsports and/or racing video gaming products related to, themed as, or containing the INDYCAR SERIES racing series, on consoles, PCs, smart TVs, mobile applications, gaming subscription services, cloud gaming, cloud streaming, handheld products and other new generation formats.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On November 8, 2023, INDYCAR delivered notice to the Company terminating the INDYCAR License Agreements effective as of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8, 2023.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In connection with the termination of the INDYCAR License Agreements, INDYCAR demanded certain payments under the INDYCAR License Agreements.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Parties desire to reach a resolution of all issues between the Parties arising out of or in connection with the INDYCAR License Agreements and any and all other matters on the terms and conditions set forth in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of the mutual agreements and covenants set forth in this Agreement, and for other good and valuable consideration, the sufficiency and adequacy of which is acknowledged, the Parties, without admitting any liabilities, hereby agree as follows:</w:t>
      </w:r>
    </w:p>
    <w:p>
      <w:pPr>
        <w:spacing w:after="0" w:line="172" w:lineRule="exact"/>
        <w:rPr>
          <w:sz w:val="20"/>
          <w:szCs w:val="20"/>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Incorporation of Recitals and Conditions to the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and foregoing recitals are incorporated herein and made a part of this Agreement. The Parties represent that the foregoing recitals are true and correct.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Agreement shall not be effective until the date on which:</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INDYCAR receives the payment required by Section 2.b.i.; and</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61"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INDYCAR receives and approves a letter agreement from iRacing.com Motorsport Simulations, LLC (“iRacing”) that confirms to INDYCAR’s satisfaction that iRacing is obligated to pay $150,000 to INDYCAR on or before December 31, 2024 if INDYCAR has not received the payment due under Section 2.b.ii from Company or (B) the Company directly pays $150,000 to INDYCAR within 30 days following the date of execution of this Agreement.</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conditions set forth in Section 1.b.i-ii have not been satisfied within thirty (30) days following the date of execution of this Agreement, INDYCAR shall have the right to rescind the settlement contemplated by this Agreement, terminate this Agreement, and INDYCAR reserves all rights to enforce all remedies in contract or otherwise under the INDYCAR License Agreements.</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Terms</w:t>
      </w:r>
      <w:r>
        <w:rPr>
          <w:rFonts w:ascii="Times New Roman" w:cs="Times New Roman" w:eastAsia="Times New Roman" w:hAnsi="Times New Roman"/>
          <w:sz w:val="18"/>
          <w:szCs w:val="18"/>
          <w:color w:val="auto"/>
        </w:rPr>
        <w:t>. Subject to full execution of this Agreement by all Parties:</w:t>
      </w:r>
    </w:p>
    <w:p>
      <w:pPr>
        <w:spacing w:after="0" w:line="22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INDYCAR hereby agrees to accept the terms of this Agreement, including without limitation the Settlement Payment (as described below) and the Company’s grant to INDYCAR a License (as defined below), in satisfaction of Company’s liabilities under the INDYCAR License Agreements and that any and all royalties and/or any other sums or liabilities of any kind whatsoever are hereby forgiven by INDYCAR and are deemed discharged in their entirety except as provided in this Agreement.</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pay $250,000 immediately upon execution of this Agreement; and</w:t>
      </w:r>
    </w:p>
    <w:p>
      <w:pPr>
        <w:spacing w:after="0" w:line="225"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iRacing shall pay to INDYCAR $150,000 on or before December 31, 2024, if the Company has not paid such sum prior to that date.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Effective as of the Effective Date, the Company hereby grants to INDYCAR a royalty-free, perpetual, irrevocable, exclusive, transferable, and sublicensable, right and license throughout the world (the “</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xml:space="preserve">”) to use the licensed intellectual property listed in </w:t>
      </w:r>
      <w:r>
        <w:rPr>
          <w:rFonts w:ascii="Times New Roman" w:cs="Times New Roman" w:eastAsia="Times New Roman" w:hAnsi="Times New Roman"/>
          <w:sz w:val="18"/>
          <w:szCs w:val="18"/>
          <w:b w:val="1"/>
          <w:bCs w:val="1"/>
          <w:color w:val="auto"/>
        </w:rPr>
        <w:t xml:space="preserve">Schedule A </w:t>
      </w:r>
      <w:r>
        <w:rPr>
          <w:rFonts w:ascii="Times New Roman" w:cs="Times New Roman" w:eastAsia="Times New Roman" w:hAnsi="Times New Roman"/>
          <w:sz w:val="18"/>
          <w:szCs w:val="18"/>
          <w:color w:val="auto"/>
        </w:rPr>
        <w:t>attached hereto and the results of the transition services specified in Section 2.d (the “</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for the purpose of developing, marketing, distributing and selling (1) esports series and esports events related to, themed as, or containing the INDYCAR SERIES racing series and/or (2) motorsports and/or racing (including without limitation simulation style) video gaming products related to, themed as or containing the INDYCAR SERIES racing series, on current and future versions of consoles, PCs, smart TVs, mobile applications, gaming subscription services, cloud gaming, cloud streaming, handheld products and other new generation formats (collectively, the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INDYCAR and the Company acknowledge and agree that the rights and license granted under the License includes rights to modify, edit, combine with other materials and/or create derivative works of the Licensed Intellectual Property in whole or in part solely for the Purpose. For the avoidance of doubt, the Parties acknowledge and agree that: (i) no licenses are currently held with any track owner and such licenses have to be negotiated by INDYCAR with the track owners prior to release of any product, (ii) the Licensed Intellectual Property does not include, and no license nor any other right are granted with respect to KartKraft platform and project acquired by the Company from Black Delta (including for use of Unreal Engine); INDYCAR acknowledges and agrees that a license for the use of Unreal Engine has to be obtained prior to release of any product, and (iii) the Company shall own and retain all right, title, and interest in and to the Licensed Intellectual Property with respect to any use other than the Purpose. For clarity, the Parties agree that INDYCAR shall not be obligated to use the License or obtain any third-party licenses for any purpose including release of any esports events or any video gaming products. The License, including the transition services and the results therefrom, is and shall be deemed to be, for purposes of Section 365(n) of the United States Bankruptcy Code, a license to rights to “intellectual property” as defined therein. INDYCAR and its successors and assigns, as licensee of such rights, shall have the rights and elections with respect thereto as specified in the United States Bankruptcy Code.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left="320" w:hanging="320"/>
        <w:spacing w:after="0" w:line="266"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Free-of-Charge Transition Service</w:t>
      </w:r>
      <w:r>
        <w:rPr>
          <w:rFonts w:ascii="Times New Roman" w:cs="Times New Roman" w:eastAsia="Times New Roman" w:hAnsi="Times New Roman"/>
          <w:sz w:val="18"/>
          <w:szCs w:val="18"/>
          <w:color w:val="auto"/>
        </w:rPr>
        <w:t>. Within the period from the Effective Date and December 31, 2024, the Company shall provide INDYCAR upon request by INDYCAR with up to 50 hours free-of-charge consulting services to facilitate the transition of the INDYCAR series game development using the Licensed Intellectual Property to the software developer of INDYCAR’s choice.</w:t>
      </w:r>
    </w:p>
    <w:p>
      <w:pPr>
        <w:spacing w:after="0" w:line="17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Company hereby represents and warrants that as of the Effective Date:</w:t>
      </w:r>
    </w:p>
    <w:p>
      <w:pPr>
        <w:spacing w:after="0" w:line="225" w:lineRule="exact"/>
        <w:rPr>
          <w:rFonts w:ascii="Times New Roman" w:cs="Times New Roman" w:eastAsia="Times New Roman" w:hAnsi="Times New Roman"/>
          <w:sz w:val="18"/>
          <w:szCs w:val="18"/>
          <w:color w:val="auto"/>
        </w:rPr>
      </w:pPr>
    </w:p>
    <w:p>
      <w:pPr>
        <w:ind w:left="980" w:right="20" w:hanging="332"/>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right, authority and ability to license the Licensed Intellectual Property to INDYCAR and perform its obligations under this Agreement.</w:t>
      </w:r>
    </w:p>
    <w:p>
      <w:pPr>
        <w:spacing w:after="0" w:line="161" w:lineRule="exact"/>
        <w:rPr>
          <w:rFonts w:ascii="Times New Roman" w:cs="Times New Roman" w:eastAsia="Times New Roman" w:hAnsi="Times New Roman"/>
          <w:sz w:val="18"/>
          <w:szCs w:val="18"/>
          <w:color w:val="auto"/>
        </w:rPr>
      </w:pPr>
    </w:p>
    <w:p>
      <w:pPr>
        <w:jc w:val="both"/>
        <w:ind w:left="980" w:hanging="332"/>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the Licensed Intellectual Property, free and clear of all encumbrances, claims, and rights of third parties. The Company has not and shall not in the future pledge its rights to the Licensed Intellectual Property as security for any of the Company’s debts or for any other purpose.</w:t>
      </w:r>
    </w:p>
    <w:p>
      <w:pPr>
        <w:spacing w:after="0" w:line="175" w:lineRule="exact"/>
        <w:rPr>
          <w:rFonts w:ascii="Times New Roman" w:cs="Times New Roman" w:eastAsia="Times New Roman" w:hAnsi="Times New Roman"/>
          <w:sz w:val="18"/>
          <w:szCs w:val="18"/>
          <w:color w:val="auto"/>
        </w:rPr>
      </w:pPr>
    </w:p>
    <w:p>
      <w:pPr>
        <w:jc w:val="both"/>
        <w:ind w:left="980" w:hanging="332"/>
        <w:spacing w:after="0" w:line="258"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track licenses which are not in place and will need to be attained by INDYCAR or the publisher prior to release of any game containing any of the tracks represented in the INDYCAR project from the Company, the Licensed Intellectual Property is licensable to INDYCAR in accordance with this Agreement and the Company may perform this Agreement without any third party consent or approval. All required consents and approvals have been obtained by the Company (including the Company’s board approval).</w:t>
      </w:r>
    </w:p>
    <w:p>
      <w:pPr>
        <w:spacing w:after="0" w:line="183" w:lineRule="exact"/>
        <w:rPr>
          <w:rFonts w:ascii="Times New Roman" w:cs="Times New Roman" w:eastAsia="Times New Roman" w:hAnsi="Times New Roman"/>
          <w:sz w:val="18"/>
          <w:szCs w:val="18"/>
          <w:color w:val="auto"/>
        </w:rPr>
      </w:pPr>
    </w:p>
    <w:p>
      <w:pPr>
        <w:ind w:left="980" w:right="20" w:hanging="332"/>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this Agreement does not violate any of the Company’s governing documents, laws or regulations, contracts, or other obligations.</w:t>
      </w:r>
    </w:p>
    <w:p>
      <w:pPr>
        <w:spacing w:after="0" w:line="161"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restrictions that prohibit the License of any Licensed Intellectual Property as set forth in this Agreement.</w:t>
      </w:r>
    </w:p>
    <w:p>
      <w:pPr>
        <w:spacing w:after="0" w:line="225" w:lineRule="exact"/>
        <w:rPr>
          <w:rFonts w:ascii="Times New Roman" w:cs="Times New Roman" w:eastAsia="Times New Roman" w:hAnsi="Times New Roman"/>
          <w:sz w:val="18"/>
          <w:szCs w:val="18"/>
          <w:color w:val="auto"/>
        </w:rPr>
      </w:pPr>
    </w:p>
    <w:p>
      <w:pPr>
        <w:jc w:val="both"/>
        <w:ind w:left="980" w:hanging="332"/>
        <w:spacing w:after="0" w:line="261"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Date, INDYCAR and its successors, assigns, tranferees and sublicensees will have the exclusive right, which is non-terminable and not subject to expiration or revocation, to develop, license, control, regulate the use of and otherwise exploit the Licensed Intellectual Property solely for the Purpose without any claim by, or payment or other obligation owing to, or required consent or approval from any person or entity.</w:t>
      </w:r>
    </w:p>
    <w:p>
      <w:pPr>
        <w:spacing w:after="0" w:line="1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8" w:name="page9"/>
    <w:bookmarkEnd w:id="8"/>
    <w:p>
      <w:pPr>
        <w:jc w:val="both"/>
        <w:ind w:left="840" w:hanging="332"/>
        <w:spacing w:after="0" w:line="26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License of the Licensed Intellectual Property does not cause INDYCAR to become responsible for any tax or other liability. Without limiting the foregoing, the License does not require INDYCAR to pay any amount to any person or entity for any reason.</w:t>
      </w:r>
    </w:p>
    <w:p>
      <w:pPr>
        <w:spacing w:after="0" w:line="175" w:lineRule="exact"/>
        <w:rPr>
          <w:rFonts w:ascii="Times New Roman" w:cs="Times New Roman" w:eastAsia="Times New Roman" w:hAnsi="Times New Roman"/>
          <w:sz w:val="18"/>
          <w:szCs w:val="18"/>
          <w:color w:val="auto"/>
        </w:rPr>
      </w:pPr>
    </w:p>
    <w:p>
      <w:pPr>
        <w:jc w:val="both"/>
        <w:ind w:left="840" w:hanging="332"/>
        <w:spacing w:after="0" w:line="25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Licensed Intellectual Property does not and the use of the Licensed Intellectual Property by INDYCAR and/or its successors and assigns for the Purpose will not infringe, misappropriate, or otherwise make any unlawful or unauthorized use of any of the intellectual property or other proprietary rights of any person or entity. Without limiting the foregoing, to the Company’s knowledge, the Company did not infringe or misappropriate or otherwise make any unlawful or unauthorized use of the intellectual property or other proprietary rights of any person or entity in the creation and development of the Licensed Intellectual Property.</w:t>
      </w:r>
    </w:p>
    <w:p>
      <w:pPr>
        <w:spacing w:after="0" w:line="187"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communications claiming infringement, misappropriation or other unlawful or unauthorized use of the Licensed Intellectual Property and, (i) no person or entity has threatened to make any claims for infringement, misappropriation or other unlawful or unauthorized use of the Licensed Intellectual Property and (ii) to the Company’s knowledge, there is no basis for any claims for infringement, misappropriation or other unlawful or unauthorized use of the Licensed Intellectual Property.</w:t>
      </w:r>
    </w:p>
    <w:p>
      <w:pPr>
        <w:spacing w:after="0" w:line="183"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person or entity is infringing upon any of the Company’s rights in any of the Licensed Intellectual Property.</w:t>
      </w:r>
    </w:p>
    <w:p>
      <w:pPr>
        <w:spacing w:after="0" w:line="161" w:lineRule="exact"/>
        <w:rPr>
          <w:rFonts w:ascii="Times New Roman" w:cs="Times New Roman" w:eastAsia="Times New Roman" w:hAnsi="Times New Roman"/>
          <w:sz w:val="18"/>
          <w:szCs w:val="18"/>
          <w:color w:val="auto"/>
        </w:rPr>
      </w:pPr>
    </w:p>
    <w:p>
      <w:pPr>
        <w:jc w:val="both"/>
        <w:ind w:left="840" w:hanging="332"/>
        <w:spacing w:after="0" w:line="255"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2.c with respect to KartKraft platform and project acquired by the Company from Black Delta (including the Unreal Engine and its use as the chassis), the Company has developed the Licensed Intellectual Property as its original work and entirely through its own efforts. No Licensed Intellectual Property have been created by any independent contractors or other third parties for the Company who have not by contract or by operation of law assigned to the Company their respective intellectual property rights (if any) for the Licensed Intellectual Property. All employees of the Company involved in the development of the Licensed Intellectual Property have by contract or by operation of law assigned all their rights (if any) to the Licensed Intellectual Property to the Company.</w:t>
      </w:r>
    </w:p>
    <w:p>
      <w:pPr>
        <w:spacing w:after="0" w:line="188" w:lineRule="exact"/>
        <w:rPr>
          <w:rFonts w:ascii="Times New Roman" w:cs="Times New Roman" w:eastAsia="Times New Roman" w:hAnsi="Times New Roman"/>
          <w:sz w:val="18"/>
          <w:szCs w:val="18"/>
          <w:color w:val="auto"/>
        </w:rPr>
      </w:pPr>
    </w:p>
    <w:p>
      <w:pPr>
        <w:jc w:val="both"/>
        <w:ind w:left="840" w:hanging="332"/>
        <w:spacing w:after="0" w:line="289" w:lineRule="auto"/>
        <w:tabs>
          <w:tab w:leader="none" w:pos="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Company’s filings with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including relating the Company’s deficiency with respect to the Nasdaq listing standards, the Company is not in a material violation of or default with respect to any law, regulation, contracts, or other obligations applicable to its business or the Licensed Intellectual Property.</w:t>
      </w:r>
    </w:p>
    <w:p>
      <w:pPr>
        <w:spacing w:after="0" w:line="157" w:lineRule="exact"/>
        <w:rPr>
          <w:rFonts w:ascii="Times New Roman" w:cs="Times New Roman" w:eastAsia="Times New Roman" w:hAnsi="Times New Roman"/>
          <w:sz w:val="17"/>
          <w:szCs w:val="17"/>
          <w:color w:val="auto"/>
        </w:rPr>
      </w:pPr>
    </w:p>
    <w:p>
      <w:pPr>
        <w:jc w:val="both"/>
        <w:ind w:left="840" w:hanging="332"/>
        <w:spacing w:after="0" w:line="26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Company’s filings with the SEC, including relating the Company’s deficiency with respect to the Nasdaq listing standards, the Company has not been notified about any investigations, audits, lawsuits, or other proceedings pending or threatened against or affecting the Company or any of the Licensed Intellectual Property.</w:t>
      </w:r>
    </w:p>
    <w:p>
      <w:pPr>
        <w:spacing w:after="0" w:line="175"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unsatisfied judgments against the Company or any of the Licensed Intellectual Property.</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ind w:left="1304" w:hanging="332"/>
        <w:spacing w:after="0" w:line="282" w:lineRule="auto"/>
        <w:tabs>
          <w:tab w:leader="none" w:pos="1304"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any judgment or order of any court or government authority with respect to or affecting the Licensed Intellectual Property.</w:t>
      </w:r>
    </w:p>
    <w:p>
      <w:pPr>
        <w:spacing w:after="0" w:line="161"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following License of the Licensed Intellectual Property and fulfillment of this Agreement, the Company remains capable of fulfilling its obligations under this Agreement.</w:t>
      </w:r>
    </w:p>
    <w:p>
      <w:pPr>
        <w:spacing w:after="0" w:line="161" w:lineRule="exact"/>
        <w:rPr>
          <w:rFonts w:ascii="Times New Roman" w:cs="Times New Roman" w:eastAsia="Times New Roman" w:hAnsi="Times New Roman"/>
          <w:sz w:val="18"/>
          <w:szCs w:val="18"/>
          <w:color w:val="auto"/>
        </w:rPr>
      </w:pPr>
    </w:p>
    <w:p>
      <w:pPr>
        <w:jc w:val="both"/>
        <w:ind w:left="4" w:firstLine="320"/>
        <w:spacing w:after="0" w:line="266" w:lineRule="auto"/>
        <w:tabs>
          <w:tab w:leader="none" w:pos="4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 of Company</w:t>
      </w:r>
      <w:r>
        <w:rPr>
          <w:rFonts w:ascii="Times New Roman" w:cs="Times New Roman" w:eastAsia="Times New Roman" w:hAnsi="Times New Roman"/>
          <w:sz w:val="18"/>
          <w:szCs w:val="18"/>
          <w:color w:val="auto"/>
        </w:rPr>
        <w:t>. The obligations of Company set forth in Sections 9.5 (insurance) and 12.1 and 12.2 and 12.3 (confidentiality) of the IndyCar Products License and Section 9.4 (insurance) and 12.1 and 12.2 and 12.3 (confidentiality) of the IndyCar Events License shall continue in force and effect following execution of this Agreement.</w:t>
      </w:r>
    </w:p>
    <w:p>
      <w:pPr>
        <w:spacing w:after="0" w:line="175" w:lineRule="exact"/>
        <w:rPr>
          <w:rFonts w:ascii="Times New Roman" w:cs="Times New Roman" w:eastAsia="Times New Roman" w:hAnsi="Times New Roman"/>
          <w:sz w:val="18"/>
          <w:szCs w:val="18"/>
          <w:color w:val="auto"/>
        </w:rPr>
      </w:pPr>
    </w:p>
    <w:p>
      <w:pPr>
        <w:jc w:val="both"/>
        <w:ind w:left="4" w:firstLine="320"/>
        <w:spacing w:after="0" w:line="258" w:lineRule="auto"/>
        <w:tabs>
          <w:tab w:leader="none" w:pos="5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shall indemnify, defend, and hold harmless each and every of the INDYCAR Released Parties (as defined below) from any against any and all actions, claims, demands, liabilities, losses, and damages whatsoever (including without limitation court costs and attorneys’ fees) (collectively, “Claims”) resulting from, arising out of, or in any manner related to the Company’s material and uncured breach of any of its representations and warranties and/or other obligations set forth in this Agreement (including without limitation any Claims of wrongdoing or negligence of any of the INDYCAR Released Parties). Defense shall be by counsel reasonably acceptable to INDYCAR.</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Mutual Releases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83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INDYCAR’s Releases</w:t>
      </w:r>
      <w:r>
        <w:rPr>
          <w:rFonts w:ascii="Times New Roman" w:cs="Times New Roman" w:eastAsia="Times New Roman" w:hAnsi="Times New Roman"/>
          <w:sz w:val="18"/>
          <w:szCs w:val="18"/>
          <w:color w:val="auto"/>
        </w:rPr>
        <w:t>. Except as to the obligations created by this Agreement, INDYCAR, on behalf of itself and its agents, heirs, representatives, shareholders, members, affiliates, parents, subsidiaries, partners, officers, directors, principals, predecessors, successors in interest (in whole or in part), and assigns, does hereby fully and forever release and discharge the Company, and each of its respective agents, partners, members, directors, officers, employees, affiliates, principals, predecessors, successors in interest (in whole or in part), heirs, representatives, and assigns (collectively,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from any and all claims, actions, causes of action, suits at law or in equity, demands, damages (actual, compensatory, special, presumed, punitive, or statutory), costs, judgments, expenses, liabilities, attorneys’ fees and legal costs or any compensation whatsoever, whether based upon alleged tort or alleged contract, vicarious liability, strict liability or any other legal or equitable theory of recovery, matured or unmatured, current or future, known or unknown of any kind or nature that any of the INDYCAR Released Parties (as defined below) have, or ever had against the Company Released Parties.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4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Releases</w:t>
      </w:r>
      <w:r>
        <w:rPr>
          <w:rFonts w:ascii="Times New Roman" w:cs="Times New Roman" w:eastAsia="Times New Roman" w:hAnsi="Times New Roman"/>
          <w:sz w:val="18"/>
          <w:szCs w:val="18"/>
          <w:color w:val="auto"/>
        </w:rPr>
        <w:t>. Except as to the obligations created by this Agreement, the Company, on behalf of itself and its agents, heirs, companies, representatives, shareholders, members, affiliates, parents, subsidiaries, partners, officers, directors, principals, predecessors, successors in interest (in whole or in part), and assigns does hereby fully and forever release and discharge INDYCAR, Indianapolis Motor Speedway, LLC, Brickyard Trademarks, Inc., and each of their respective affiliates, agents, partners, members, managers, shareholders, owners, directors, officers, employees, affiliates, principals, predecessors, successors in interest (in whole or in part), heirs, representatives, and assigns (collectively, the “</w:t>
      </w:r>
      <w:r>
        <w:rPr>
          <w:rFonts w:ascii="Times New Roman" w:cs="Times New Roman" w:eastAsia="Times New Roman" w:hAnsi="Times New Roman"/>
          <w:sz w:val="18"/>
          <w:szCs w:val="18"/>
          <w:u w:val="single" w:color="auto"/>
          <w:color w:val="auto"/>
        </w:rPr>
        <w:t>INDYCAR Released Parties</w:t>
      </w:r>
      <w:r>
        <w:rPr>
          <w:rFonts w:ascii="Times New Roman" w:cs="Times New Roman" w:eastAsia="Times New Roman" w:hAnsi="Times New Roman"/>
          <w:sz w:val="18"/>
          <w:szCs w:val="18"/>
          <w:color w:val="auto"/>
        </w:rPr>
        <w:t>”), from any and all claims, actions, causes of action, suits at law or in equity, demands, damages (actual, compensatory, special, presumed, punitive, or statutory), costs, judgments, expenses, liabilities, attorneys’ fees and legal costs or any compensation whatsoever, whether based upon alleged tort or alleged contract, vicarious liability, strict liability or any other legal or equitable theory of recovery, matured or unmatured, current or future, known or unknown of any kind or nature that the Company Released Parties have, or ever had against the INDYCAR Released Parties.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2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 or Initiate Proceedings</w:t>
      </w:r>
      <w:r>
        <w:rPr>
          <w:rFonts w:ascii="Times New Roman" w:cs="Times New Roman" w:eastAsia="Times New Roman" w:hAnsi="Times New Roman"/>
          <w:sz w:val="18"/>
          <w:szCs w:val="18"/>
          <w:color w:val="auto"/>
        </w:rPr>
        <w:t>. Each of the Parties agrees not to sue or initiate any civil proceeding, criminal proceeding, or regulatory proceeding against the other Party or in any way assist any other person or entity in doing so with respect to the claims released herein. This release provisions as set forth in this Section 3 may be pleaded as a full and complete defense to, and may be used as the basis for an injunction against, any action, suit, or other proceeding which may be instituted, prosecuted, or attempted in breach of the release contained herein.</w:t>
      </w:r>
    </w:p>
    <w:p>
      <w:pPr>
        <w:spacing w:after="0" w:line="1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0" w:name="page11"/>
    <w:bookmarkEnd w:id="10"/>
    <w:p>
      <w:pPr>
        <w:jc w:val="both"/>
        <w:ind w:firstLine="656"/>
        <w:spacing w:after="0" w:line="262" w:lineRule="auto"/>
        <w:tabs>
          <w:tab w:leader="none" w:pos="8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Cooperation to Facilitate Agreement</w:t>
      </w:r>
      <w:r>
        <w:rPr>
          <w:rFonts w:ascii="Times New Roman" w:cs="Times New Roman" w:eastAsia="Times New Roman" w:hAnsi="Times New Roman"/>
          <w:sz w:val="18"/>
          <w:szCs w:val="18"/>
          <w:color w:val="auto"/>
        </w:rPr>
        <w:t>. The Parties agree to cooperate, and cause their representatives to cooperate, in taking any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reasonably necessary to implement the letter and purpose of this Agreement. Without limiting the foregoing, the Company agrees to promptly deliver all information and materials (including without limitation source code and copies and/or assignment of agreements related to track content and the 2023 INDYCAR vehicle model).</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Terms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4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and understanding between the Parties with respect to the subject matter of this Agreement, and supersedes all other agreements between the Parties. The terms of this Agreement can be modified only by a writing signed by all of the Parties who are affected by such modification at the time of the modification. This Agreement cannot be orally modified.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only, be unenforceable without invalidating the remaining provisions hereof, and any such prohibition or unenforceability in any jurisdiction shall not invalidate or render unenforceable such provision in any other jurisdiction. Notwithstanding the foregoing, the Parties agree that if any provision of this Agreement is determined by a court to be void, invalid, or unenforceable, and, as a result the Party for whose benefit such void, invalid, or unenforceable provision exists is denied any or all of the material benefits provided to such Party pursuant to this Agreement (as determined by a court of competent jurisdiction), then this Agreement may be rescinded by such Party.</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4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Headings are used herein for convenience only and shall have no force or effect in the interpretation or construction of this Agreement. All references in this Agreement to the singular shall be deemed to include the plural if the context so requires and vice versa. References in the collective or conjunctive shall also include the disjunctive unless the context otherwise clearly requires a different interpretation.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4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Agreement shall be governed by the laws of the State of Indiana, without giving effect to its choice of law principles. EACH PARTY HEREBY WAIVES, TO THE FULLEST EXTENT PERMITTED BY APPLICABLE LAW, ANY RIGHT IT MAY HAVE TO A TRIAL BY JURY IN RESPECT TO ANY LITIGATION DIRECTLY OR INDIRECTLY ARISING OUT OF, UNDER OR IN CONNECTION WITH THIS AGREEMENT. EACH PARTY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5.d.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4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The Parties acknowledge and represent that they have been given adequate opportunity to consult with legal counsel before entering into this settlement and executing this Agreement. The language of this Agreement shall be construed as representing the Parties’ mutual understanding and as having been drafted and approved by the Parties and counsel for all Parties. Each individual signing this Agreement represents and warrants that he or she has the full right, power and authority to execute this Agreement on behalf of the Party for which or whom he or she signs. Each Party covenants and agrees to execute such further documents and perform such further acts as may be reasonable and necessary to effectuate the purposes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The Parties shall each bear their own respective attorneys’ fees and costs incurred in connection with the matters resolved by this Agreement, as well as the negotiation and documentation of the compromise represented by this Agreement. However, in the event of any proceedings to enforce this Agreement, the prevailing party shall be entitled to recover its legal expenses, including attorneys’ fees and costs, incurred in connection therewith. The parties further agree that this Agreement may be introduced into evidence in any subsequent proceeding to enforce its terms.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Settlement Agreement is binding upon, and shall inure to the benefit of, the Parties, their current, past and future officers, directors, supervisors, employees, agents, representatives, subsidiaries, affiliates, associates, and their heirs, beneficiaries, trustees, administrators, estates, predecessors, successors and assigns.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and all of which shall constitute one and the same agreement, with the same effect as if all Parties had signed the same signature page. Any signature page of this Agreement may be detached from any counterpart of this Agreement and reattached to any other counterpart of this Agreement identical in form hereto but having attached to it one or more additional signature pages. This Agreement shall only become effective on its execution by all Parties.</w:t>
      </w:r>
    </w:p>
    <w:p>
      <w:pPr>
        <w:spacing w:after="0" w:line="18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[Signatures are on next page.]</w:t>
      </w:r>
    </w:p>
    <w:p>
      <w:pPr>
        <w:spacing w:after="0" w:line="2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7"/>
          <w:szCs w:val="17"/>
          <w:color w:val="auto"/>
        </w:rPr>
        <w:t>IN WITNESS WHEREOF, the Parties execute this Agreement as of the date set forth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Hood</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INDYCAR,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D. Miles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D. Miles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 – Penske Entertainment Corp.</w:t>
            </w:r>
          </w:p>
        </w:tc>
      </w:tr>
    </w:tbl>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3" w:name="page14"/>
    <w:bookmarkEnd w:id="1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Licensed Intellectual Property</w:t>
      </w:r>
    </w:p>
    <w:p>
      <w:pPr>
        <w:spacing w:after="0" w:line="229" w:lineRule="exact"/>
        <w:rPr>
          <w:sz w:val="20"/>
          <w:szCs w:val="20"/>
          <w:color w:val="auto"/>
        </w:rPr>
      </w:pPr>
    </w:p>
    <w:p>
      <w:pPr>
        <w:jc w:val="both"/>
        <w:ind w:left="-8" w:firstLine="8"/>
        <w:spacing w:after="0" w:line="266" w:lineRule="auto"/>
        <w:tabs>
          <w:tab w:leader="none" w:pos="1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intellectual property rights related to the Company’s latest (i.e., as of the date of the Company’s IndyCar project termination) IndyCar development project for PC, PlayStation and Xbox formats, including the software source code, tools and applications necessary for a professional development team to resume development and production of the IndyCar game project on the aforementioned formats.</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1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intellectual property rights related to 2023 IndyCar vehicle model, including components necessary to feature the car in-game, in a drivable state complete with associated audio and effects.</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32"/>
      </w:cols>
      <w:pgMar w:left="328"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4DB127F8"/>
    <w:multiLevelType w:val="hybridMultilevel"/>
    <w:lvl w:ilvl="0">
      <w:lvlJc w:val="left"/>
      <w:lvlText w:val="%1."/>
      <w:numFmt w:val="lowerLetter"/>
      <w:start w:val="4"/>
    </w:lvl>
    <w:lvl w:ilvl="1">
      <w:lvlJc w:val="left"/>
      <w:lvlText w:val="%2."/>
      <w:numFmt w:val="lowerRoman"/>
      <w:start w:val="1"/>
    </w:lvl>
  </w:abstractNum>
  <w:abstractNum w:abstractNumId="7">
    <w:nsid w:val="216231B"/>
    <w:multiLevelType w:val="hybridMultilevel"/>
    <w:lvl w:ilvl="0">
      <w:lvlJc w:val="left"/>
      <w:lvlText w:val="%1."/>
      <w:numFmt w:val="lowerRoman"/>
      <w:start w:val="7"/>
    </w:lvl>
  </w:abstractNum>
  <w:abstractNum w:abstractNumId="8">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5"/>
    </w:lvl>
  </w:abstractNum>
  <w:abstractNum w:abstractNumId="9">
    <w:nsid w:val="1190CDE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10">
    <w:nsid w:val="66EF438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1">
    <w:nsid w:val="140E0F76"/>
    <w:multiLevelType w:val="hybridMultilevel"/>
    <w:lvl w:ilvl="0">
      <w:lvlJc w:val="left"/>
      <w:lvlText w:val="%1."/>
      <w:numFmt w:val="decimal"/>
      <w:start w:val="4"/>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2024-05-23T05:32:19Z</dcterms:created>
  <dcterms:modified xsi:type="dcterms:W3CDTF">2024-05-23T05:32:19Z</dcterms:modified>
</cp:coreProperties>
</file>