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Motorsport Games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06/05/2026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Red Oak Partners, LLC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227,786.00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227,786.00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227,786.00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Red Oak Fund,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146,734.00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146,734.00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146,734.00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Red Oak Long Fund,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81,052.00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81,052.00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81,052.00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Sandberg David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227,786.00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227,786.00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227,786.00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7"/>
        <w:gridCol w:w="8903"/>
        <w:gridCol w:w="155"/>
      </w:tblGrid>
      <w:tr>
        <w:trPr/>
        <w:tc>
          <w:tcPr>
            <w:tcW w:w="1147" w:type="dxa"/>
            <w:tcBorders/>
            <w:vAlign w:val="center"/>
          </w:tcPr>
          <w:p>
            <w:pPr>
              <w:pStyle w:val="TableContents"/>
              <w:bidi w:val="0"/>
              <w:spacing w:before="0" w:after="283"/>
              <w:jc w:val="left"/>
              <w:rPr/>
            </w:pPr>
            <w:r>
              <w:rPr/>
              <w:t>Item 1.</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issuer: </w:t>
            </w:r>
          </w:p>
          <w:p>
            <w:pPr>
              <w:pStyle w:val="TableContents"/>
              <w:bidi w:val="0"/>
              <w:spacing w:before="0" w:after="0"/>
              <w:jc w:val="left"/>
              <w:rPr/>
            </w:pPr>
            <w:r>
              <w:rPr/>
              <w:t>Motorsport Games Inc.</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3350 SW 148th Avenue, Suite 207, Miramar, FL 33027</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2.</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Statement (the "Reporting Persons") are: The Red Oak Fund, LP, a Delaware limited partnership ("Red Oak Fund"); The Red Oak Long Fund, LP, a Delaware limited partnership ("Red Oak Long Fund"); Red Oak Partners, LLC, a Florida limited liability company ("Red Oak Partners"); and David Sandberg, as the controlling member of Red Oak Partners. This Statement is being filed by David Sandberg, the controlling member of Red Oak Partners, which manages each of Red Oak Fund and Red Oak Long Fund (each a "Fund" and, collectively, the "Funds"). The Funds are private investment vehicles formed for the purpose of investing and trading in a wide variety of securities and financial instruments. The Funds directly own the shares as reported in this Statement. Each of the filers hereto disclaims beneficial ownership with respect to any shares other than shares owned directly by such filer.</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40 SE 5th Street, Suite 502, Boca Raton, FL 33432</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jc w:val="left"/>
              <w:rPr/>
            </w:pPr>
            <w:r>
              <w:rPr/>
              <w:t xml:space="preserve">Citizenship: </w:t>
            </w:r>
          </w:p>
          <w:p>
            <w:pPr>
              <w:pStyle w:val="TableContents"/>
              <w:bidi w:val="0"/>
              <w:spacing w:before="0" w:after="0"/>
              <w:jc w:val="left"/>
              <w:rPr/>
            </w:pPr>
            <w:r>
              <w:rPr/>
              <w:t>David Sandberg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3.</w:t>
            </w:r>
          </w:p>
        </w:tc>
        <w:tc>
          <w:tcPr>
            <w:tcW w:w="890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(f)</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(g)</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(h)</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(j)</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(k)</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9058" w:type="dxa"/>
            <w:gridSpan w:val="2"/>
            <w:tcBorders/>
            <w:vAlign w:val="center"/>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4.</w:t>
            </w:r>
          </w:p>
        </w:tc>
        <w:tc>
          <w:tcPr>
            <w:tcW w:w="890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Red Oak Partners may be deemed to beneficially own 227,786 shares of Class A common stock which includes: 146,734 shares of Class A common stock that Red Oak Fund may be deemed to beneficially own and 81,052 shares of Class A common stock that Red Oak Long Fund may be deemed to beneficially own. Mr. Sandberg, as the managing member of Red Oak Partners may be deemed to beneficially own the 227,786 shares of Class A common stock beneficially owned by Red Oak Partners through the Funds.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With respect to David Sandberg and Red Oak Partners, 5.5% of Class A common stock. With respect to the Red Oak Fund, 3.5% of Class A common stock. With respect to the Red Oak Long Fund, 1.9% of Class A common stock.  %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With respect to David Sandberg and Red Oak Partners, LLC, 227,786 shares of Class A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With respect to David Sandberg and Red Oak Partners, LLC, 227,786 shares of Class A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5.</w:t>
            </w:r>
          </w:p>
        </w:tc>
        <w:tc>
          <w:tcPr>
            <w:tcW w:w="890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6.</w:t>
            </w:r>
          </w:p>
        </w:tc>
        <w:tc>
          <w:tcPr>
            <w:tcW w:w="890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7.</w:t>
            </w:r>
          </w:p>
        </w:tc>
        <w:tc>
          <w:tcPr>
            <w:tcW w:w="890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8.</w:t>
            </w:r>
          </w:p>
        </w:tc>
        <w:tc>
          <w:tcPr>
            <w:tcW w:w="890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9.</w:t>
            </w:r>
          </w:p>
        </w:tc>
        <w:tc>
          <w:tcPr>
            <w:tcW w:w="890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Red Oak Partners, LLC</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David Sandberg</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06/12/2026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4218" w:type="dxa"/>
        <w:jc w:val="left"/>
        <w:tblInd w:w="0" w:type="dxa"/>
        <w:tblLayout w:type="fixed"/>
        <w:tblCellMar>
          <w:top w:w="28" w:type="dxa"/>
          <w:left w:w="28" w:type="dxa"/>
          <w:bottom w:w="28" w:type="dxa"/>
          <w:right w:w="28" w:type="dxa"/>
        </w:tblCellMar>
      </w:tblPr>
      <w:tblGrid>
        <w:gridCol w:w="2109"/>
        <w:gridCol w:w="2109"/>
      </w:tblGrid>
      <w:tr>
        <w:trPr/>
        <w:tc>
          <w:tcPr>
            <w:tcW w:w="2109" w:type="dxa"/>
            <w:tcBorders/>
            <w:vAlign w:val="center"/>
          </w:tcPr>
          <w:p>
            <w:pPr>
              <w:pStyle w:val="TableContents"/>
              <w:bidi w:val="0"/>
              <w:spacing w:before="0" w:after="0"/>
              <w:jc w:val="left"/>
              <w:rPr/>
            </w:pPr>
            <w:r>
              <w:rPr/>
              <w:t> </w:t>
            </w:r>
          </w:p>
          <w:tbl>
            <w:tblPr>
              <w:tblW w:w="1981" w:type="dxa"/>
              <w:jc w:val="left"/>
              <w:tblInd w:w="0" w:type="dxa"/>
              <w:tblLayout w:type="fixed"/>
              <w:tblCellMar>
                <w:top w:w="28" w:type="dxa"/>
                <w:left w:w="28" w:type="dxa"/>
                <w:bottom w:w="28" w:type="dxa"/>
                <w:right w:w="28" w:type="dxa"/>
              </w:tblCellMar>
            </w:tblPr>
            <w:tblGrid>
              <w:gridCol w:w="1981"/>
            </w:tblGrid>
            <w:tr>
              <w:trPr/>
              <w:tc>
                <w:tcPr>
                  <w:tcW w:w="1981" w:type="dxa"/>
                  <w:tcBorders/>
                  <w:vAlign w:val="center"/>
                </w:tcPr>
                <w:p>
                  <w:pPr>
                    <w:pStyle w:val="TableContents"/>
                    <w:bidi w:val="0"/>
                    <w:spacing w:before="0" w:after="0"/>
                    <w:jc w:val="left"/>
                    <w:rPr/>
                  </w:pPr>
                  <w:r>
                    <w:rPr/>
                    <w:t>Red Oak Fund, LP</w:t>
                  </w:r>
                </w:p>
              </w:tc>
            </w:tr>
          </w:tbl>
          <w:p>
            <w:pPr>
              <w:pStyle w:val="TableContents"/>
              <w:bidi w:val="0"/>
              <w:spacing w:before="0" w:after="283"/>
              <w:jc w:val="left"/>
              <w:rPr/>
            </w:pPr>
            <w:r>
              <w:rPr/>
            </w:r>
          </w:p>
        </w:tc>
        <w:tc>
          <w:tcPr>
            <w:tcW w:w="21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David Sandberg</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06/12/2026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Red Oak Long Fund, LP</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David Sandberg</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06/12/2026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Sandberg David</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David Sandberg</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Individual</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06/12/2026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1415</Words>
  <Characters>7114</Characters>
  <CharactersWithSpaces>8460</CharactersWithSpaces>
  <Paragraphs>298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