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5268595</wp:posOffset>
            </wp:positionH>
            <wp:positionV relativeFrom="paragraph">
              <wp:posOffset>-590550</wp:posOffset>
            </wp:positionV>
            <wp:extent cx="8255" cy="5911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1185"/>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-598170</wp:posOffset>
            </wp:positionV>
            <wp:extent cx="8255" cy="5988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-574040</wp:posOffset>
            </wp:positionV>
            <wp:extent cx="1270000" cy="551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5118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-1662430</wp:posOffset>
            </wp:positionH>
            <wp:positionV relativeFrom="paragraph">
              <wp:posOffset>25400</wp:posOffset>
            </wp:positionV>
            <wp:extent cx="6971665" cy="17011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1665" cy="17011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Kozko Dmitry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MOTORSPORT GAMES INC.</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5972 NE 4TH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Motorsport Games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MSGM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01/12/2021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8" w:type="dxa"/>
        <w:tblCellMar>
          <w:top w:w="0" w:type="dxa"/>
          <w:left w:w="0" w:type="dxa"/>
          <w:bottom w:w="0" w:type="dxa"/>
          <w:right w:w="0" w:type="dxa"/>
        </w:tblCellMar>
      </w:tblPr>
      <w:tr>
        <w:trPr>
          <w:trHeight w:val="208"/>
        </w:trPr>
        <w:tc>
          <w:tcPr>
            <w:tcW w:w="220" w:type="dxa"/>
            <w:vAlign w:val="bottom"/>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3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3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6"/>
          <w:szCs w:val="16"/>
          <w:color w:val="0000FF"/>
        </w:rPr>
        <w:t>Chief Executive Officer</w:t>
      </w:r>
    </w:p>
    <w:p>
      <w:pPr>
        <w:spacing w:after="0" w:line="391"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0"/>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0000FF"/>
              </w:rPr>
              <w:t>MIAMI</w:t>
            </w:r>
          </w:p>
        </w:tc>
        <w:tc>
          <w:tcPr>
            <w:tcW w:w="1160" w:type="dxa"/>
            <w:vAlign w:val="bottom"/>
          </w:tcPr>
          <w:p>
            <w:pPr>
              <w:ind w:left="360"/>
              <w:spacing w:after="0"/>
              <w:rPr>
                <w:sz w:val="20"/>
                <w:szCs w:val="20"/>
                <w:color w:val="auto"/>
              </w:rPr>
            </w:pPr>
            <w:r>
              <w:rPr>
                <w:rFonts w:ascii="Arial" w:cs="Arial" w:eastAsia="Arial" w:hAnsi="Arial"/>
                <w:sz w:val="16"/>
                <w:szCs w:val="16"/>
                <w:color w:val="0000FF"/>
              </w:rPr>
              <w:t>FL</w:t>
            </w:r>
          </w:p>
        </w:tc>
        <w:tc>
          <w:tcPr>
            <w:tcW w:w="1600" w:type="dxa"/>
            <w:vAlign w:val="bottom"/>
          </w:tcPr>
          <w:p>
            <w:pPr>
              <w:ind w:left="420"/>
              <w:spacing w:after="0"/>
              <w:rPr>
                <w:sz w:val="20"/>
                <w:szCs w:val="20"/>
                <w:color w:val="auto"/>
              </w:rPr>
            </w:pPr>
            <w:r>
              <w:rPr>
                <w:rFonts w:ascii="Arial" w:cs="Arial" w:eastAsia="Arial" w:hAnsi="Arial"/>
                <w:sz w:val="16"/>
                <w:szCs w:val="16"/>
                <w:color w:val="0000FF"/>
              </w:rPr>
              <w:t>33137</w:t>
            </w:r>
          </w:p>
        </w:tc>
      </w:tr>
      <w:tr>
        <w:trPr>
          <w:trHeight w:val="146"/>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8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177165</wp:posOffset>
            </wp:positionV>
            <wp:extent cx="6971665" cy="106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1665" cy="1062355"/>
                    </a:xfrm>
                    <a:prstGeom prst="rect">
                      <a:avLst/>
                    </a:prstGeom>
                    <a:noFill/>
                  </pic:spPr>
                </pic:pic>
              </a:graphicData>
            </a:graphic>
          </wp:anchor>
        </w:drawing>
      </w:r>
    </w:p>
    <w:p>
      <w:pPr>
        <w:spacing w:after="0" w:line="337" w:lineRule="exact"/>
        <w:rPr>
          <w:sz w:val="24"/>
          <w:szCs w:val="24"/>
          <w:color w:val="auto"/>
        </w:rPr>
      </w:pPr>
    </w:p>
    <w:p>
      <w:pPr>
        <w:sectPr>
          <w:pgSz w:w="11900" w:h="16838" w:orient="portrait"/>
          <w:cols w:equalWidth="0" w:num="2">
            <w:col w:w="3740" w:space="160"/>
            <w:col w:w="718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60"/>
              <w:spacing w:after="0" w:line="123"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10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8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20" w:type="dxa"/>
            <w:vAlign w:val="bottom"/>
            <w:gridSpan w:val="4"/>
          </w:tcPr>
          <w:p>
            <w:pPr>
              <w:ind w:left="10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5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4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Class A Common Stock</w:t>
            </w:r>
          </w:p>
        </w:tc>
        <w:tc>
          <w:tcPr>
            <w:tcW w:w="1840" w:type="dxa"/>
            <w:vAlign w:val="bottom"/>
            <w:tcBorders>
              <w:bottom w:val="single" w:sz="8" w:color="2C2C2C"/>
            </w:tcBorders>
            <w:gridSpan w:val="3"/>
          </w:tcPr>
          <w:p>
            <w:pPr>
              <w:ind w:left="960"/>
              <w:spacing w:after="0"/>
              <w:rPr>
                <w:sz w:val="20"/>
                <w:szCs w:val="20"/>
                <w:color w:val="auto"/>
              </w:rPr>
            </w:pPr>
            <w:r>
              <w:rPr>
                <w:rFonts w:ascii="Arial" w:cs="Arial" w:eastAsia="Arial" w:hAnsi="Arial"/>
                <w:sz w:val="16"/>
                <w:szCs w:val="16"/>
                <w:color w:val="0000FF"/>
              </w:rPr>
              <w:t>01/12/2021</w:t>
            </w:r>
          </w:p>
        </w:tc>
        <w:tc>
          <w:tcPr>
            <w:tcW w:w="7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6"/>
                <w:szCs w:val="16"/>
                <w:color w:val="0000FF"/>
                <w:w w:val="85"/>
              </w:rPr>
              <w:t>20,333</w:t>
            </w:r>
            <w:r>
              <w:rPr>
                <w:rFonts w:ascii="Arial" w:cs="Arial" w:eastAsia="Arial" w:hAnsi="Arial"/>
                <w:sz w:val="20"/>
                <w:szCs w:val="20"/>
                <w:color w:val="008000"/>
                <w:w w:val="85"/>
                <w:vertAlign w:val="superscript"/>
              </w:rPr>
              <w:t>(1)</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w:t>
            </w:r>
          </w:p>
        </w:tc>
        <w:tc>
          <w:tcPr>
            <w:tcW w:w="1300" w:type="dxa"/>
            <w:vAlign w:val="bottom"/>
            <w:tcBorders>
              <w:bottom w:val="single" w:sz="8" w:color="2C2C2C"/>
            </w:tcBorders>
            <w:gridSpan w:val="3"/>
          </w:tcPr>
          <w:p>
            <w:pPr>
              <w:ind w:left="440"/>
              <w:spacing w:after="0"/>
              <w:rPr>
                <w:sz w:val="20"/>
                <w:szCs w:val="20"/>
                <w:color w:val="auto"/>
              </w:rPr>
            </w:pPr>
            <w:r>
              <w:rPr>
                <w:rFonts w:ascii="Arial" w:cs="Arial" w:eastAsia="Arial" w:hAnsi="Arial"/>
                <w:sz w:val="16"/>
                <w:szCs w:val="16"/>
                <w:color w:val="0000FF"/>
              </w:rPr>
              <w:t>20,333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Disposed of</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5"/>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center"/>
              <w:ind w:right="96"/>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ind w:right="43"/>
              <w:spacing w:after="0" w:line="201" w:lineRule="exact"/>
              <w:rPr>
                <w:sz w:val="20"/>
                <w:szCs w:val="20"/>
                <w:color w:val="auto"/>
              </w:rPr>
            </w:pPr>
            <w:r>
              <w:rPr>
                <w:rFonts w:ascii="Arial" w:cs="Arial" w:eastAsia="Arial" w:hAnsi="Arial"/>
                <w:sz w:val="13"/>
                <w:szCs w:val="13"/>
                <w:color w:val="0000FF"/>
                <w:w w:val="94"/>
              </w:rPr>
              <w:t>203,333</w:t>
            </w:r>
            <w:r>
              <w:rPr>
                <w:rFonts w:ascii="Arial" w:cs="Arial" w:eastAsia="Arial" w:hAnsi="Arial"/>
                <w:sz w:val="20"/>
                <w:szCs w:val="20"/>
                <w:color w:val="008000"/>
                <w:w w:val="94"/>
                <w:vertAlign w:val="superscript"/>
              </w:rPr>
              <w:t>(2)</w:t>
            </w:r>
          </w:p>
        </w:tc>
        <w:tc>
          <w:tcPr>
            <w:tcW w:w="2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(2)</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0000FF"/>
                <w:w w:val="89"/>
              </w:rPr>
              <w:t>203,333</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w:t>
            </w: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01/12/2021</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w w:val="95"/>
              </w:rPr>
              <w:t>01/12/2031</w:t>
            </w:r>
          </w:p>
        </w:tc>
        <w:tc>
          <w:tcPr>
            <w:tcW w:w="66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183"/>
              <w:spacing w:after="0" w:line="139" w:lineRule="exact"/>
              <w:rPr>
                <w:sz w:val="20"/>
                <w:szCs w:val="20"/>
                <w:color w:val="auto"/>
              </w:rPr>
            </w:pPr>
            <w:r>
              <w:rPr>
                <w:rFonts w:ascii="Arial" w:cs="Arial" w:eastAsia="Arial" w:hAnsi="Arial"/>
                <w:sz w:val="13"/>
                <w:szCs w:val="13"/>
                <w:color w:val="0000FF"/>
              </w:rPr>
              <w:t>203,333</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center"/>
              <w:ind w:right="96"/>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center"/>
              <w:ind w:right="96"/>
              <w:spacing w:after="0"/>
              <w:rPr>
                <w:sz w:val="20"/>
                <w:szCs w:val="20"/>
                <w:color w:val="auto"/>
              </w:rPr>
            </w:pPr>
            <w:r>
              <w:rPr>
                <w:rFonts w:ascii="Arial" w:cs="Arial" w:eastAsia="Arial" w:hAnsi="Arial"/>
                <w:sz w:val="13"/>
                <w:szCs w:val="13"/>
                <w:color w:val="0000FF"/>
                <w:w w:val="89"/>
              </w:rPr>
              <w:t>Class A</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vMerge w:val="restart"/>
          </w:tcPr>
          <w:p>
            <w:pPr>
              <w:jc w:val="center"/>
              <w:ind w:right="83"/>
              <w:spacing w:after="0" w:line="201" w:lineRule="exact"/>
              <w:rPr>
                <w:sz w:val="20"/>
                <w:szCs w:val="20"/>
                <w:color w:val="auto"/>
              </w:rPr>
            </w:pPr>
            <w:r>
              <w:rPr>
                <w:rFonts w:ascii="Arial" w:cs="Arial" w:eastAsia="Arial" w:hAnsi="Arial"/>
                <w:sz w:val="13"/>
                <w:szCs w:val="13"/>
                <w:color w:val="0000FF"/>
                <w:w w:val="99"/>
              </w:rPr>
              <w:t>26,410</w:t>
            </w:r>
            <w:r>
              <w:rPr>
                <w:rFonts w:ascii="Arial" w:cs="Arial" w:eastAsia="Arial" w:hAnsi="Arial"/>
                <w:sz w:val="20"/>
                <w:szCs w:val="20"/>
                <w:color w:val="008000"/>
                <w:w w:val="99"/>
                <w:vertAlign w:val="superscript"/>
              </w:rPr>
              <w:t>(3)</w:t>
            </w:r>
          </w:p>
        </w:tc>
        <w:tc>
          <w:tcPr>
            <w:tcW w:w="28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0"/>
                <w:szCs w:val="10"/>
                <w:color w:val="008000"/>
              </w:rPr>
              <w:t>(3)</w:t>
            </w: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ind w:right="34"/>
              <w:spacing w:after="0"/>
              <w:rPr>
                <w:sz w:val="20"/>
                <w:szCs w:val="20"/>
                <w:color w:val="auto"/>
              </w:rPr>
            </w:pPr>
            <w:r>
              <w:rPr>
                <w:rFonts w:ascii="Arial" w:cs="Arial" w:eastAsia="Arial" w:hAnsi="Arial"/>
                <w:sz w:val="16"/>
                <w:szCs w:val="16"/>
                <w:color w:val="0000FF"/>
                <w:w w:val="98"/>
              </w:rPr>
              <w:t>26,410</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w:t>
            </w:r>
          </w:p>
        </w:tc>
        <w:tc>
          <w:tcPr>
            <w:tcW w:w="1060" w:type="dxa"/>
            <w:vAlign w:val="bottom"/>
            <w:vMerge w:val="restart"/>
          </w:tcPr>
          <w:p>
            <w:pPr>
              <w:jc w:val="right"/>
              <w:ind w:right="181"/>
              <w:spacing w:after="0" w:line="139" w:lineRule="exact"/>
              <w:rPr>
                <w:sz w:val="20"/>
                <w:szCs w:val="20"/>
                <w:color w:val="auto"/>
              </w:rPr>
            </w:pPr>
            <w:r>
              <w:rPr>
                <w:rFonts w:ascii="Arial" w:cs="Arial" w:eastAsia="Arial" w:hAnsi="Arial"/>
                <w:sz w:val="13"/>
                <w:szCs w:val="13"/>
                <w:color w:val="0000FF"/>
              </w:rPr>
              <w:t>01/12/2021</w:t>
            </w: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restart"/>
          </w:tcPr>
          <w:p>
            <w:pPr>
              <w:ind w:left="20"/>
              <w:spacing w:after="0" w:line="139" w:lineRule="exact"/>
              <w:rPr>
                <w:sz w:val="20"/>
                <w:szCs w:val="20"/>
                <w:color w:val="auto"/>
              </w:rPr>
            </w:pPr>
            <w:r>
              <w:rPr>
                <w:rFonts w:ascii="Arial" w:cs="Arial" w:eastAsia="Arial" w:hAnsi="Arial"/>
                <w:sz w:val="13"/>
                <w:szCs w:val="13"/>
                <w:color w:val="0000FF"/>
                <w:w w:val="95"/>
              </w:rPr>
              <w:t>01/12/2031</w:t>
            </w:r>
          </w:p>
        </w:tc>
        <w:tc>
          <w:tcPr>
            <w:tcW w:w="66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Common</w:t>
            </w:r>
          </w:p>
        </w:tc>
        <w:tc>
          <w:tcPr>
            <w:tcW w:w="600" w:type="dxa"/>
            <w:vAlign w:val="bottom"/>
            <w:vMerge w:val="continue"/>
          </w:tcPr>
          <w:p>
            <w:pPr>
              <w:spacing w:after="0"/>
              <w:rPr>
                <w:sz w:val="6"/>
                <w:szCs w:val="6"/>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60" w:type="dxa"/>
            <w:vAlign w:val="bottom"/>
            <w:gridSpan w:val="2"/>
            <w:vMerge w:val="restart"/>
          </w:tcPr>
          <w:p>
            <w:pPr>
              <w:jc w:val="right"/>
              <w:ind w:right="203"/>
              <w:spacing w:after="0" w:line="139" w:lineRule="exact"/>
              <w:rPr>
                <w:sz w:val="20"/>
                <w:szCs w:val="20"/>
                <w:color w:val="auto"/>
              </w:rPr>
            </w:pPr>
            <w:r>
              <w:rPr>
                <w:rFonts w:ascii="Arial" w:cs="Arial" w:eastAsia="Arial" w:hAnsi="Arial"/>
                <w:sz w:val="13"/>
                <w:szCs w:val="13"/>
                <w:color w:val="0000FF"/>
              </w:rPr>
              <w:t>26,410</w:t>
            </w:r>
          </w:p>
        </w:tc>
        <w:tc>
          <w:tcPr>
            <w:tcW w:w="6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restart"/>
          </w:tcPr>
          <w:p>
            <w:pPr>
              <w:jc w:val="center"/>
              <w:ind w:right="96"/>
              <w:spacing w:after="0"/>
              <w:rPr>
                <w:sz w:val="20"/>
                <w:szCs w:val="20"/>
                <w:color w:val="auto"/>
              </w:rPr>
            </w:pPr>
            <w:r>
              <w:rPr>
                <w:rFonts w:ascii="Arial" w:cs="Arial" w:eastAsia="Arial" w:hAnsi="Arial"/>
                <w:sz w:val="13"/>
                <w:szCs w:val="13"/>
                <w:color w:val="0000FF"/>
                <w:w w:val="85"/>
              </w:rPr>
              <w:t>Stock</w:t>
            </w: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-2194560</wp:posOffset>
            </wp:positionV>
            <wp:extent cx="7035165" cy="22358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5165" cy="223583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40" w:right="28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shares awarded to the reporting person outside of the Motorsport Games Inc. 2021 Equity Incentive Plan (the "Plan"), which vested immediately. The grant of the award was approved by the compensation committee of the board of directors of Motorsport Games Inc. (the "Company") and by the Company's sole stockholder at the time of grant.</w:t>
      </w:r>
    </w:p>
    <w:p>
      <w:pPr>
        <w:spacing w:after="0" w:line="31" w:lineRule="exact"/>
        <w:rPr>
          <w:rFonts w:ascii="Arial" w:cs="Arial" w:eastAsia="Arial" w:hAnsi="Arial"/>
          <w:sz w:val="13"/>
          <w:szCs w:val="13"/>
          <w:color w:val="008000"/>
        </w:rPr>
      </w:pPr>
    </w:p>
    <w:p>
      <w:pPr>
        <w:ind w:left="40" w:right="560" w:hanging="2"/>
        <w:spacing w:after="0" w:line="237" w:lineRule="auto"/>
        <w:tabs>
          <w:tab w:leader="none" w:pos="16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awarded to the reporting person outside of the Plan, which vested immediately. The grant of the award was approved by the compensation committee of the board of directors of the Company and by the Company's sole stockholder at the time of grant.</w:t>
      </w:r>
    </w:p>
    <w:p>
      <w:pPr>
        <w:spacing w:after="0" w:line="31" w:lineRule="exact"/>
        <w:rPr>
          <w:rFonts w:ascii="Arial" w:cs="Arial" w:eastAsia="Arial" w:hAnsi="Arial"/>
          <w:sz w:val="13"/>
          <w:szCs w:val="13"/>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awarded to the reporting person under the Plan, which will vest in three equal annual installments beginning on January 12, 2022.</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96"/>
              </w:rPr>
              <w:t>/s/ Dmitry Kozko</w:t>
            </w:r>
          </w:p>
        </w:tc>
        <w:tc>
          <w:tcPr>
            <w:tcW w:w="106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6"/>
                <w:szCs w:val="16"/>
                <w:color w:val="0000FF"/>
                <w:w w:val="89"/>
              </w:rPr>
              <w:t>01/14/2021</w:t>
            </w:r>
          </w:p>
        </w:tc>
      </w:tr>
      <w:tr>
        <w:trPr>
          <w:trHeight w:val="21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08443" TargetMode="External"/><Relationship Id="rId14" Type="http://schemas.openxmlformats.org/officeDocument/2006/relationships/hyperlink" Target="http://www.sec.gov/cgi-bin/browse-edgar?action=getcompany&amp;CIK=00018211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2021-01-14T20:10:07Z</dcterms:created>
  <dcterms:modified xsi:type="dcterms:W3CDTF">2021-01-14T20:10:07Z</dcterms:modified>
</cp:coreProperties>
</file>