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Sunner Navtej Singh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3350 SW 148TH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207</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MIRAMAR,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Motorsport Games Inc.</w:t>
              </w:r>
            </w:hyperlink>
            <w:r>
              <w:rPr/>
              <w:t xml:space="preserve"> [ </w:t>
            </w:r>
            <w:r>
              <w:rPr>
                <w:rFonts w:ascii="Times;serif" w:hAnsi="Times;serif"/>
                <w:color w:val="0000FF"/>
                <w:sz w:val="24"/>
                <w:shd w:fill="FFFFFF" w:val="clear"/>
              </w:rPr>
              <w:t>MSGM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69,567</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69,567</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Class A Common Stock. Each RSU vests on the earlier of January 1, 2027, or the occurrence of a Change of Control (as defined in the Amended and Restated 2021 Equity Incentive Plan), subject to the director's continued service through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Navtej Singh Sunner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caps w:val="false"/>
          <w:smallCaps w:val="false"/>
        </w:rPr>
      </w:pPr>
      <w:bookmarkStart w:id="2" w:name="ex24-1.htm"/>
      <w:bookmarkStart w:id="3" w:name="ksex24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POWER OF ATTORNEY FOR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 REPORTING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makes, constitutes and appoints each of Stanley Beckley and/or Stephen Hood of Motorsport Games Inc. (the “Company”), signing individually, the undersigned’s true and lawful attorney-in-fact and agent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 execute on behalf of the undersigned, and submit to the U.S. Securities and Exchange Commission (the “SEC”) any documents necessary or advisable to obtain EDGAR access codes or make any updates to the undersigned’s EDGAR access codes once obtained, enabling the undersigned to make electronic filings of reports with the SEC;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 for and on behalf of the undersigned, an officer, director or holder of 10% of more of a registered class of securities of the Company, Forms 3, 4 and 5 in accordance with Section 16(a) of the Securities Exchange Act of 1934, as amended (the “Exchange Act”) and the rules thereunder;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and perform any and all acts for and on behalf of the undersigned that may be necessary or desirable to complete and execute such Form 3, 4 or 5, complete and execute any amendment or amendments thereto, and timely file such forms or amendments with the SEC and any stock exchange or similar authority;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until such attorney-in-fact shall no longer be employed by the Company,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August 3, 2026.</w:t>
      </w:r>
    </w:p>
    <w:p>
      <w:pPr>
        <w:pStyle w:val="TextBody"/>
        <w:bidi w:val="0"/>
        <w:spacing w:before="0" w:after="0"/>
        <w:ind w:left="0" w:right="0" w:hanging="0"/>
        <w:jc w:val="left"/>
        <w:rPr>
          <w:caps w:val="false"/>
          <w:smallCaps w:val="false"/>
        </w:rPr>
      </w:pPr>
      <w:r>
        <w:rPr>
          <w:caps w:val="false"/>
          <w:smallCaps w:val="false"/>
        </w:rPr>
        <w:t> </w:t>
      </w:r>
    </w:p>
    <w:tbl>
      <w:tblPr>
        <w:tblW w:w="2045" w:type="dxa"/>
        <w:jc w:val="left"/>
        <w:tblInd w:w="0" w:type="dxa"/>
        <w:tblLayout w:type="fixed"/>
        <w:tblCellMar>
          <w:top w:w="0" w:type="dxa"/>
          <w:left w:w="0" w:type="dxa"/>
          <w:bottom w:w="0" w:type="dxa"/>
          <w:right w:w="0" w:type="dxa"/>
        </w:tblCellMar>
      </w:tblPr>
      <w:tblGrid>
        <w:gridCol w:w="75"/>
        <w:gridCol w:w="19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Navtej Singh Sunner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Navtej Singh Sunner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2103" TargetMode="External"/><Relationship Id="rId5" Type="http://schemas.openxmlformats.org/officeDocument/2006/relationships/hyperlink" Target="http://www.sec.gov/cgi-bin/browse-edgar?action=getcompany&amp;CIK=00018211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1164</Words>
  <Characters>6140</Characters>
  <CharactersWithSpaces>7244</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