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Jacobson Andrew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77,246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77,246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Each RSU vests on the earlier of January 1, 2027, or the occurrence of a Change of Control (as defined in the Amended and Restated 2021 Equity Incentive Plan), subject to the director's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 Jacobson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Stanley Beckley and/or Stephen Hood of Motorsport Games Inc. (the “Company”), signing individually,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3, 2026.</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P. Jacobson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P. Jacobson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997"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1164</Words>
  <Characters>6136</Characters>
  <CharactersWithSpaces>7240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