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6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June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Motorsport Games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10"/>
        <w:gridCol w:w="60"/>
        <w:gridCol w:w="1145"/>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612"/>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86-1791356</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3350 SW 148</w:t>
            </w:r>
            <w:r>
              <w:rPr>
                <w:rFonts w:ascii="Times New Roman;Times;Serif" w:hAnsi="Times New Roman;Times;Serif"/>
                <w:b/>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t>
            </w:r>
            <w:bookmarkStart w:id="9" w:name="xdx_906_edei--EntityAddressAddressLine2_"/>
            <w:bookmarkEnd w:id="9"/>
            <w:r>
              <w:rPr>
                <w:rFonts w:ascii="Times New Roman;Times;Serif" w:hAnsi="Times New Roman;Times;Serif"/>
                <w:b/>
                <w:i w:val="false"/>
                <w:caps w:val="false"/>
                <w:smallCaps w:val="false"/>
                <w:sz w:val="20"/>
              </w:rPr>
              <w:t xml:space="preserve">Avenue, </w:t>
            </w:r>
            <w:bookmarkStart w:id="10" w:name="xdx_900_edei--EntityAddressAddressLine3_"/>
            <w:bookmarkEnd w:id="10"/>
            <w:r>
              <w:rPr>
                <w:rFonts w:ascii="Times New Roman;Times;Serif" w:hAnsi="Times New Roman;Times;Serif"/>
                <w:b/>
                <w:i w:val="false"/>
                <w:caps w:val="false"/>
                <w:smallCaps w:val="false"/>
                <w:sz w:val="20"/>
              </w:rPr>
              <w:t>Suite 207</w:t>
              <w:br/>
            </w:r>
            <w:bookmarkStart w:id="11" w:name="xdx_905_edei--EntityAddressCityOrTown_c2"/>
            <w:bookmarkEnd w:id="11"/>
            <w:r>
              <w:rPr>
                <w:rFonts w:ascii="Times New Roman;Times;Serif" w:hAnsi="Times New Roman;Times;Serif"/>
                <w:b/>
                <w:i w:val="false"/>
                <w:caps w:val="false"/>
                <w:smallCaps w:val="false"/>
                <w:sz w:val="20"/>
              </w:rPr>
              <w:t xml:space="preserve">Miramar, </w:t>
            </w:r>
            <w:bookmarkStart w:id="12" w:name="xdx_90B_edei--EntityAddressStateOrProvin"/>
            <w:bookmarkEnd w:id="12"/>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1_edei--EntityAddressPostalZipCode"/>
            <w:bookmarkEnd w:id="13"/>
            <w:r>
              <w:rPr>
                <w:rFonts w:ascii="Times New Roman;Times;Serif" w:hAnsi="Times New Roman;Times;Serif"/>
                <w:b/>
                <w:i w:val="false"/>
                <w:caps w:val="false"/>
                <w:smallCaps w:val="false"/>
                <w:sz w:val="20"/>
              </w:rPr>
              <w:t>33027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F_edei--CityAreaCode_c20260612__20"/>
      <w:bookmarkEnd w:id="14"/>
      <w:r>
        <w:rPr>
          <w:rFonts w:ascii="Times New Roman;Times;Serif" w:hAnsi="Times New Roman;Times;Serif"/>
          <w:b/>
          <w:i w:val="false"/>
          <w:caps w:val="false"/>
          <w:smallCaps w:val="false"/>
          <w:sz w:val="20"/>
        </w:rPr>
        <w:t xml:space="preserve">(305) </w:t>
      </w:r>
      <w:bookmarkStart w:id="15" w:name="xdx_907_edei--LocalPhoneNumber_c20260612"/>
      <w:bookmarkEnd w:id="15"/>
      <w:r>
        <w:rPr>
          <w:rFonts w:ascii="Times New Roman;Times;Serif" w:hAnsi="Times New Roman;Times;Serif"/>
          <w:b/>
          <w:i w:val="false"/>
          <w:caps w:val="false"/>
          <w:smallCaps w:val="false"/>
          <w:sz w:val="20"/>
        </w:rPr>
        <w:t>413-0812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B_edei--WrittenCommunications_c2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SolicitingMaterial_c202606"/>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TenderOffer"/>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2_edei--PreCommencementIssuerTende"/>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50"/>
        <w:gridCol w:w="60"/>
        <w:gridCol w:w="1610"/>
        <w:gridCol w:w="60"/>
        <w:gridCol w:w="3710"/>
      </w:tblGrid>
      <w:tr>
        <w:trPr/>
        <w:tc>
          <w:tcPr>
            <w:tcW w:w="4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12bTitle_c20260612"/>
            <w:bookmarkEnd w:id="20"/>
            <w:r>
              <w:rPr>
                <w:rFonts w:ascii="Times New Roman;Times;Serif" w:hAnsi="Times New Roman;Times;Serif"/>
                <w:b w:val="false"/>
                <w:i w:val="false"/>
                <w:caps w:val="false"/>
                <w:smallCaps w:val="false"/>
                <w:sz w:val="20"/>
              </w:rPr>
              <w:t xml:space="preserve">Class A common stock, $0.0001 par value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TradingSymbol_c20260612__2"/>
            <w:bookmarkEnd w:id="21"/>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2_edei--SecurityExchangeName_c2026"/>
            <w:bookmarkEnd w:id="22"/>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2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D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5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Motorsport Games Inc. (the “Company”) and Stanley Beckley mutually agreed to his transition from the role of Chief Financial Officer to serve as the Company’s Chief Accounting and Compliance Officer. On June 16, 2026, the Company’s Board of Directors appointed Peter Hansen-Chambers as its new Chief Financial Officer and Stanley Beckley, who currently serves as Chief Financial Officer, was appointed to the position of Chief Accounting and Compliance Officer. Both appointments will be effective as of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Hansen-Chambers, age 43, has served as Executive Advisor to Motorsport Games Inc. since January 2026 through PHC Consulting Ltd, a company he originally founded in 2013 and through which he provides commercial strategy and consultancy services. Mr. Hansen-Chambers has almost 20 years of experience in the video games industry spanning commercial strategy, licensing, legal, finance, business development, and M&amp;A across console, PC, and mobile platforms. From October 2014 to October 2025, Mr. Hansen-Chambers worked at mobile games developer Hutch Games Ltd (“Hutch”), most recently as Co-CEO and Chief Financial Officer. Initially joining the company as a loss-making startup of approximately 20 people, Mr. Hansen-Chambers helped transform it into a profitable games business with partners including Formula 1, evo, Mattel and Turn 10, growing to over 170 employees across multiple sites. In 2020, Mr. Hansen-Chambers oversaw the sale of Hutch to Modern Times Group MTG AB (“MTG”) for a price in excess of $275 million and continued in his leadership role as Hutch became part of MTG. Prior to Hutch, Mr. Hansen-Chambers previously held roles at Dovetail Games, Sony Computer Entertainment Europe, Bugatti, NaturalMotion and Codemasters.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Hansen-Chambers and any of the Company’s directors or executive officers. In addition, except as set forth herein, Mr. Hansen-Chambers is not a party to any transaction, or series of transactions, required to be disclosed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Peter Hansen-Chambers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the Company, through its subsidiary Motorsport Games Ltd, entered into an employment agreement with Mr. Hansen-Chambers (the “Employment Agreement”) providing for Mr. Hansen-Chambers to serve as the Company’s Chief Financial Officer commencing July 1, 2026, reporting to the Company’s Chief Executive Officer and the Board, with an annual base salary of 240,000 pound sterling.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 Mr. Hansen-Chambers is eligible for an annual bonus with a target amount equal to 25% of his base salary, which will be awarded by the Board in its sole discretion based on the achievement of performance-based metrics established by the Company’s Chief Executive Officer with input from Mr. Hansen-Chambers on an annual basis. Mr. Hansen-Chambers may also receive, in the discretion of the Board’s Compensation Committee, equity awards under the Company’s Amended and Restated 2021 Equity Incentive Plan (the “2021 Plan”). Mr. Hansen-Chambers will also be eligible to receive other customary benefits described in the Employment Agreement.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may be terminated by either Mr. Hansen-Chambers or the Company at any time upon written notice of: (i) during the first 12 months of employment, 4 months in the case of termination by Mr. Hansen-Chambers or 6 months in the case of termination by the Company; (ii) after 12 months of employment, 5 months in the case of termination by Mr. Hansen-Chambers or 9 months in the case of termination by the Company; and (iii) after 18 months of employment, 6 months in the case of termination by Mr. Hansen-Chambers or 12 months in the case of termination by the Company (with the time after such notice being referred to as the “Notice Period”). During the Notice Period Mr. Hansen-Chambers would remain an employee of the Company and continue to receive his salary and other contractual entitlements. Once notice has been served by either party, the Company may require Mr. Hansen-Chambers not to attend work for a period equivalent to some or all of the Notice Period. Notwithstanding the Notice Period, the Company may in its sole and absolute discretion, terminate Mr. Hansen-Chambers’s employment at any time with immediate effect provided that the Company pay within twenty-eight (28) days a payment in lieu (“Payment in Lieu”), or the first installment thereof, equal to Mr. Hansen-Chambers’s base salary (as at the date of termination) which he would have been entitled to receive during the Notice Period. The Company may also terminate Mr. Hansen-Chambers’s employment with immediate effect and without Payment in Lieu at any time by written notice in the event of gross misconduct, a criminal conviction, or a serious breach of the Employment Agreement on the part of Mr. Hansen-Chambers.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Hansen-Chambers is also subject to certain restrictive covenants, including a non-competition, customer non-solicitation and employee non-solicitation (each applicable during employment and for 12 months thereafter), and confidentiality restrictions (applicable during employment and any time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subject to, and qualified in its entirety by reference to, the full text of such document, a copy of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Employment Agreement with Stanley Beckley</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entered into a First Amendment to Executive Employment Agreement with Mr. Beckley (the “Amendment”), effective as of July 1, 2026 (the “Effective Date”), which amends the Executive Employment Agreement, dated as of March 27, 2026, by and between the Company and Mr. Beckley.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provides that, upon the Effective Date, Mr. Beckley shall serve as the Company’s Chief Accounting and Compliance Officer, reporting to the Company’s Chief Executive Officer and the Board, with an annual base salary of $250,000. The Amendment also provides for a signing bonus payable to Mr. Beckley of $7,000. The Amendment contains a general release of all claims against the Company and its current and former officers, directors, employees and agents (the “General Release”), and a waiver of claims relating to the changes in the terms of Mr. Beckley’s employment pursuant to the Amendment. Within seven days of Mr. Beckley’s execution of the Amendment, he may revoke the terms of the General Release. Therefore, the General Release shall not be effective or enforceable until the seven-day revocation period has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subject to, and qualified in its entirety by reference to, the full text of the Amendment, a copy of which is attached hereto as Exhibit 10.2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issued a press release announcing the appointment of Mr. Hansen-Chambers as the Company’s Chief Financial Officer and the appointment of Mr. Beckley as the Company’s Chief Accounting and Compliance Officer. A copy of the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in the press release furnished as Exhibit 99.1 to this Current Report on Form 8-K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filing with the SEC made by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Statement of Terms and Conditions of Employment, dated June 17, 2026, by and between Motorsport Games Ltd and Peter Hansen-Chambers</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First Amendment to Executive Employment Agreement, dated June 18, 2026, by and between Motorsport Games Inc. and Stanley Beckley</w:t>
              </w:r>
            </w:hyperlink>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June 18,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655"/>
        <w:gridCol w:w="320"/>
        <w:gridCol w:w="30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bookmarkStart w:id="25" w:name="ex10-1.htm"/>
      <w:bookmarkStart w:id="26" w:name="ksex101"/>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862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790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TERMS AND CONDITIONS OF EMPLOYMENT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HANSEN-CHAMBERS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17,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Parties</w:t>
      </w:r>
    </w:p>
    <w:p>
      <w:pPr>
        <w:pStyle w:val="TextBody"/>
        <w:bidi w:val="0"/>
        <w:spacing w:before="0" w:after="0"/>
        <w:ind w:left="0" w:right="0" w:hanging="0"/>
        <w:jc w:val="both"/>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Motorsport Games Ltd</w:t>
            </w:r>
            <w:r>
              <w:rPr>
                <w:rFonts w:ascii="Times New Roman;Times;Serif" w:hAnsi="Times New Roman;Times;Serif"/>
                <w:b w:val="false"/>
                <w:i w:val="false"/>
                <w:caps w:val="false"/>
                <w:smallCaps w:val="false"/>
                <w:sz w:val="20"/>
              </w:rPr>
              <w:t xml:space="preserve"> incorporated and registered in England and Wales with company number 12445844 whose registered office is at Silverstone Innovation Centre, Silverstone Park, Silverstone, NN12 8GX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Employer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Peter Hansen-Chambers, [●]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you</w:t>
            </w:r>
            <w:r>
              <w:rPr>
                <w:rFonts w:ascii="Times New Roman;Times;Serif" w:hAnsi="Times New Roman;Times;Serif"/>
                <w:b w:val="false"/>
                <w:i w:val="false"/>
                <w:caps w:val="false"/>
                <w:smallCaps w:val="false"/>
                <w:sz w:val="20"/>
              </w:rPr>
              <w:t>” / “</w:t>
            </w:r>
            <w:r>
              <w:rPr>
                <w:rFonts w:ascii="Times New Roman;Times;Serif" w:hAnsi="Times New Roman;Times;Serif"/>
                <w:b/>
                <w:i w:val="false"/>
                <w:caps w:val="false"/>
                <w:smallCaps w:val="false"/>
                <w:sz w:val="20"/>
              </w:rPr>
              <w:t>your</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appointment will be as </w:t>
      </w:r>
      <w:r>
        <w:rPr>
          <w:rFonts w:ascii="Times New Roman;Times;Serif" w:hAnsi="Times New Roman;Times;Serif"/>
          <w:b/>
          <w:i w:val="false"/>
          <w:caps w:val="false"/>
          <w:smallCaps w:val="false"/>
          <w:sz w:val="20"/>
        </w:rPr>
        <w:t>Chief Financial Officer (CFO)</w:t>
      </w:r>
      <w:r>
        <w:rPr>
          <w:rFonts w:ascii="Times New Roman;Times;Serif" w:hAnsi="Times New Roman;Times;Serif"/>
          <w:b w:val="false"/>
          <w:i w:val="false"/>
          <w:caps w:val="false"/>
          <w:smallCaps w:val="false"/>
          <w:sz w:val="20"/>
        </w:rPr>
        <w:t xml:space="preserve"> of Motorsport Games Inc, a Delaware corporation (“</w:t>
      </w:r>
      <w:r>
        <w:rPr>
          <w:rFonts w:ascii="Times New Roman;Times;Serif" w:hAnsi="Times New Roman;Times;Serif"/>
          <w:b/>
          <w:i w:val="false"/>
          <w:caps w:val="false"/>
          <w:smallCaps w:val="false"/>
          <w:sz w:val="20"/>
        </w:rPr>
        <w:t>MSGM</w:t>
      </w:r>
      <w:r>
        <w:rPr>
          <w:rFonts w:ascii="Times New Roman;Times;Serif" w:hAnsi="Times New Roman;Times;Serif"/>
          <w:b w:val="false"/>
          <w:i w:val="false"/>
          <w:caps w:val="false"/>
          <w:smallCaps w:val="false"/>
          <w:sz w:val="20"/>
        </w:rPr>
        <w:t>”) through your employment with the Company whose parent entity is MSGM, reporting to the Chief Executive Officer (CEO) of MSGM and the board of directors of MSGM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accept such employment and shall devote all of your business time, effort and skill to diligently perform the duties described in this Statement of Terms and Conditions of Employment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or this “</w:t>
      </w:r>
      <w:r>
        <w:rPr>
          <w:rFonts w:ascii="Times New Roman;Times;Serif" w:hAnsi="Times New Roman;Times;Serif"/>
          <w:b/>
          <w:i w:val="false"/>
          <w:caps w:val="false"/>
          <w:smallCaps w:val="false"/>
          <w:sz w:val="20"/>
        </w:rPr>
        <w:t>Contract of Employment</w:t>
      </w:r>
      <w:r>
        <w:rPr>
          <w:rFonts w:ascii="Times New Roman;Times;Serif" w:hAnsi="Times New Roman;Times;Serif"/>
          <w:b w:val="false"/>
          <w:i w:val="false"/>
          <w:caps w:val="false"/>
          <w:smallCaps w:val="false"/>
          <w:sz w:val="20"/>
        </w:rPr>
        <w:t>”) for the benefit of the Employer and its parent entity, MSGM.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continuous employment with the Company commenced on </w:t>
      </w:r>
      <w:r>
        <w:rPr>
          <w:rFonts w:ascii="Times New Roman;Times;Serif" w:hAnsi="Times New Roman;Times;Serif"/>
          <w:b/>
          <w:i w:val="false"/>
          <w:caps w:val="false"/>
          <w:smallCaps w:val="false"/>
          <w:sz w:val="20"/>
        </w:rPr>
        <w:t>July 1,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appointment under this Agreement will commence on </w:t>
      </w:r>
      <w:r>
        <w:rPr>
          <w:rFonts w:ascii="Times New Roman;Times;Serif" w:hAnsi="Times New Roman;Times;Serif"/>
          <w:b/>
          <w:i w:val="false"/>
          <w:caps w:val="false"/>
          <w:smallCaps w:val="false"/>
          <w:sz w:val="20"/>
        </w:rPr>
        <w:t>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probationary period applies to your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warrant to the Company and MSGM that you are not entering into this Agreement in breach of any agreement with a third party and that you will not be restricted or prevented from undertaking or performing your duties hereunder by any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replaces any previous agreement(s), whether verbal or written, given to you at any time relating to your employment with the Company. For the avoidance of doubt, the Consultancy Agreement between the Company and PHC Consulting Limited dated January 5, 2026 (“Consultancy Agreement”) is hereby mutually terminated with effect from the commencement of the Executive’s employment hereunder. The Company and the Executive each represent and warrant that proper notice has been given in accordance with the termination provisions of the Consultancy Agreement and that such mutual termination has been effected in compliance with the terms of the Consultancy Agreement. You acknowledge that you are not entering into this Agreement in reliance upon any representation, warranty or undertaking which is not contained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your appointment, you will: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prevented by illness or injury, devote the whole of your working time, attention and abilities to the business on an exclusive basis and will not, without the prior written consent of the CEO(such consent not to be unreasonably withheld) accept any other appointment, work for or be directly or indirectly engaged or concerned with the conduct of any other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diligently perform such duties and exercise such powers to the Company or any Group Company as the CEO reasonably requires;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 reasonable and lawful directions given from time to time by the CEO;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your best endeavours to and promote the interest and further business of the Company or any Group Company and not to do anything which may harm or be prejudicial or detrimental to the business of the Company or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to the CEO any misconduct committed by yourself or any of your colleagues of which you are aware, including any intention by an employee to act in breach of their employment contract with the Company and/or Group Company, as soon as reasonably practicable upon becoming aware of it.</w:t>
            </w:r>
          </w:p>
        </w:tc>
      </w:tr>
    </w:tbl>
    <w:p>
      <w:pPr>
        <w:pStyle w:val="TextBody"/>
        <w:bidi w:val="0"/>
        <w:spacing w:before="0" w:after="283"/>
        <w:jc w:val="left"/>
        <w:rPr/>
      </w:pPr>
      <w:r>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2</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your appointment, you shall not, without the prior written consent of the Board, be directly or indirectly employed, engaged, concerned or interested in any other trade, business or profession, whether paid or unpaid as agent, consultant, director, employee, owner, partner, shareholder or in any other capacity, other than the business of the Company or any Group Company save for the holding as a passive investor only of not more than 5% of the total issued share capital of any company (whether or not it is listed or dealt in on a recognised stock exchange).</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85"/>
        <w:gridCol w:w="8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basic annual (“</w:t>
      </w:r>
      <w:r>
        <w:rPr>
          <w:rFonts w:ascii="Times New Roman;Times;Serif" w:hAnsi="Times New Roman;Times;Serif"/>
          <w:b/>
          <w:i w:val="false"/>
          <w:caps w:val="false"/>
          <w:smallCaps w:val="false"/>
          <w:sz w:val="20"/>
        </w:rPr>
        <w:t>base</w:t>
      </w:r>
      <w:r>
        <w:rPr>
          <w:rFonts w:ascii="Times New Roman;Times;Serif" w:hAnsi="Times New Roman;Times;Serif"/>
          <w:b w:val="false"/>
          <w:i w:val="false"/>
          <w:caps w:val="false"/>
          <w:smallCaps w:val="false"/>
          <w:sz w:val="20"/>
        </w:rPr>
        <w:t xml:space="preserve">”) salary will initially be GBP </w:t>
      </w:r>
      <w:r>
        <w:rPr>
          <w:rFonts w:ascii="Times New Roman;Times;Serif" w:hAnsi="Times New Roman;Times;Serif"/>
          <w:b/>
          <w:i w:val="false"/>
          <w:caps w:val="false"/>
          <w:smallCaps w:val="false"/>
          <w:sz w:val="20"/>
        </w:rPr>
        <w:t xml:space="preserve">240,000 per annum </w:t>
      </w:r>
      <w:r>
        <w:rPr>
          <w:rFonts w:ascii="Times New Roman;Times;Serif" w:hAnsi="Times New Roman;Times;Serif"/>
          <w:b w:val="false"/>
          <w:i w:val="false"/>
          <w:caps w:val="false"/>
          <w:smallCaps w:val="false"/>
          <w:sz w:val="20"/>
        </w:rPr>
        <w:t>subject at all times to review, adjustment and approval by the Compensation Committee of the Board (the “Committee”), in the Committee’s sole and absolute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salary shall accrue from day to day and be paid monthly in arrears, less required deductions on or about the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directly by bank credit transfer. Please note that your salary is a confidential matter between yourself and the Company and should not be discussed outside these two parties, unless disclosure of salary information is required by law and/or rules or regulations, including, without limitation, the rules and regulations promulgated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 purposes of current, quarterly and annual reporting, disclosures of executive compensation and other requirements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deduct from the salary, or any other sums owed to you, any money owed to the Group Company by you. In addition, the Company reserves the right to deduct from your salary one day’s pay for each day (including part of a day) of unauthorised absence (calculated as 1/260 of your salary for each day). Unauthorised absence shall include any absence from work unless due to:</w:t>
      </w:r>
    </w:p>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85"/>
        <w:gridCol w:w="76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Genuine sickness which has been notified to the Company in accordance with clause 8 below;</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for which the Company has given permission; or</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Genuine reasons outside your control which are acceptable to the Company.</w:t>
            </w:r>
          </w:p>
        </w:tc>
      </w:tr>
    </w:tbl>
    <w:p>
      <w:pPr>
        <w:pStyle w:val="TextBody"/>
        <w:bidi w:val="0"/>
        <w:spacing w:before="0" w:after="283"/>
        <w:jc w:val="left"/>
        <w:rPr/>
      </w:pPr>
      <w:r>
        <w:rPr/>
        <w:t> </w:t>
      </w:r>
    </w:p>
    <w:tbl>
      <w:tblPr>
        <w:tblW w:w="880" w:type="dxa"/>
        <w:jc w:val="left"/>
        <w:tblInd w:w="0" w:type="dxa"/>
        <w:tblLayout w:type="fixed"/>
        <w:tblCellMar>
          <w:top w:w="0" w:type="dxa"/>
          <w:left w:w="0" w:type="dxa"/>
          <w:bottom w:w="0" w:type="dxa"/>
          <w:right w:w="0" w:type="dxa"/>
        </w:tblCellMar>
      </w:tblPr>
      <w:tblGrid>
        <w:gridCol w:w="185"/>
        <w:gridCol w:w="6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eligible to participate in the Company’s Incentive Compensation Plan (“ICP”) and target cash bonus schemes, with a target bonus equal to 25% of your annual base salary, the terms of which shall be advised to you separately. Any such bonus payment made shall be purely discretionary based upon performance-based metrics that have been developed with input from the Executive and approved by the CEO, which metrics shall be reviewed and revised on an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bonus payment shall not form part of your contractual remuneration. If the Company pays you a bonus in one year, it shall not be obliged to make a similar or any bonus payment in any subsequent year. The Company may alter the terms of any bonus targets or withdraw them altogether at any time without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forfeit any bonus entitlement if, prior to the bonus payment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voluntarily resign or provide notice of resignation; or</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is terminated by the Company with immediate effect and without Payment in Lieu pursuant to Section 11.</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employment is otherwise terminated by the Company prior to the bonus payment date, you will be eligible for a pro-rated bonus based on the portion of the applicable performance period during which you were employed.</w:t>
      </w:r>
    </w:p>
    <w:p>
      <w:pPr>
        <w:pStyle w:val="TextBody"/>
        <w:bidi w:val="0"/>
        <w:spacing w:before="0" w:after="0"/>
        <w:ind w:left="0" w:right="0" w:hanging="0"/>
        <w:jc w:val="both"/>
        <w:rPr>
          <w:caps w:val="false"/>
          <w:smallCaps w:val="false"/>
        </w:rPr>
      </w:pPr>
      <w:r>
        <w:rPr>
          <w:caps w:val="false"/>
          <w:smallCaps w:val="false"/>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3</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bonus payment shall not be pensionable except to the extent that it forms part of your qualifying earnings under section 13(1) of the Pensions Act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parties acknowledge that the Executive served as a consultant to the Company through PHC Consulting Limited beginning on 20 January 2026, and that such period of service as a consultant shall be recognised and credited as time served by the Executive for the purposes of calculating any pro-rated entitlement to the 2026 CFO cash bonus under this Section 3. For the avoidance of doubt, the Executive’s eligible service period for the 2026 bonus year shall be deemed to have commenced on 20 January 2026.</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85"/>
        <w:gridCol w:w="17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HOURS OF WORK</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working week consists of forty (40) hours per week, predominately 9am-6pm Monday through Friday, with one hour for lunch. However, your actual working hours will be discussed and agreed upon by the Board in line with the needs of the business. You will be expected to work additional hours from time to time as required by the nature of your work, for the proper fulfilment of your post and the needs of the business and its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your role with the Company is such that there is no entitlement to additional payment (whether by overtime or otherwise) for hours worked in excess of your normal weekly working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in addition you will work such hours as are necessary for the proper fulfilment of your post and the needs of the business and its clients.</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WORK</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may work for the Company remotely, but will be required to visit the UK Office in Silverstone on occasion as is reasonably necessary to meet the needs of the business. You are required to inform us as soon as possible if you plan to change your home address. You confirm that you are not in breach of any covenant or agreement in doing work at your home.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required to travel to any locations within the UK or globally, whether to clients’ offices, or to such offices as may be required. During your employment you shall not be required to work outside of the UK for a prolonged period of time which the company defines as more than two weeks.</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185"/>
        <w:gridCol w:w="10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expenses wholly, necessarily and exclusively incurred by the Executive whilst on Motorsport Games business will be reimbursed subject to the guidelines outlined in the Company Travel and Expenses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Employer will pay or reimburse you for all personal documented, reasonable and necessary (in line with Employer’s policies) out-of-pocket expenses related to business travel and meetings incurred by you during the term of your employment in the performance of your duties hereunder. For direct flights longer than four (4) hours, you shall be entitled to business class airfare, subject to the Company’s travel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card provided by the Company may only be used for expenses incurred by you in the course of your employment.</w:t>
      </w:r>
    </w:p>
    <w:p>
      <w:pPr>
        <w:pStyle w:val="TextBody"/>
        <w:bidi w:val="0"/>
        <w:spacing w:before="0" w:after="0"/>
        <w:ind w:left="0"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85"/>
        <w:gridCol w:w="10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HOLIDAYS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eight (8) recognised Bank and other Public Holidays (or days in lieu where the Company requires the Executive to work on a public holiday), the Executive’s paid annual holiday entitlement is twenty-six (26) days. Your annual leave entitlement shall rise by one additional day for each complete calendar year of service (based on your continuous employment start date), up to a maximum of thirty (30) days. Any entitlement to a part day’s holiday will be rounded up to the nearest half day.</w:t>
      </w:r>
    </w:p>
    <w:p>
      <w:pPr>
        <w:pStyle w:val="TextBody"/>
        <w:bidi w:val="0"/>
        <w:spacing w:before="0" w:after="0"/>
        <w:ind w:left="0" w:right="0" w:hanging="0"/>
        <w:jc w:val="both"/>
        <w:rPr>
          <w:caps w:val="false"/>
          <w:smallCaps w:val="false"/>
        </w:rPr>
      </w:pPr>
      <w:r>
        <w:rPr>
          <w:caps w:val="false"/>
          <w:smallCaps w:val="false"/>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4</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holiday year runs from 1 January to 31 December each year. Holiday can be taken in the holiday year in which it accrues otherwise it will be lost, except in the following cases: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choose to carry forward into the next holiday year no more than five (5) days of untaken holiday entitlement. It will be lost if not taken before the end of the next holiday year</w:t>
            </w:r>
          </w:p>
        </w:tc>
      </w:tr>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carry over holiday that you have been unable to take due to being on sick leave. It will be lost if not taken within 18 months of the end of the holiday year in which it accrued.</w:t>
            </w:r>
          </w:p>
        </w:tc>
      </w:tr>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carry over holiday that you have been unable to take due to being on maternity, paternity or adoption leave, parental leave, shared parental leave, parental bereavement leave, carer’s leave or neonatal care leave. It will be lost if not taken by the end of the following holiday year.</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accrue entitlement to holidays beyond the statutory minimum if you are absent from work due to sickness for more than fourteen (14) consecutive days and as such any entitlement to holidays for the holiday year in which such absence takes place shall be reduced pro rata. You will continue to accrue statutory holiday entitlement during sickness absence in accordance with the Working Time Regulations 1998.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the Executive to take any accrued holiday entitlement during their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Wherever possible, you should give reasonable advance notice of any proposed holiday dates. In the unlikely event that the Board requires you to cancel approved pre-booked holiday for business reasons, you may be reimbursed for any irrecoverable costs and every effort will be made to agree suitable alternative holiday dates with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Employee Handbook for specific rules regarding holiday entitlement and booking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leave employment part way through a holiday year, your entitlement to holiday will be calculated on a pro rata basis. If upon leaving you have any outstanding annual holiday entitlement, you will receive a payment representing salary for the number of days’ outstanding (which, for the avoidance of doubt, shall include any holiday carried forward from a previous holiday year(s)). Alternatively, if you have taken annual holiday in excess of your accrued entitlement, a deduction equivalent to salary for the additional holiday taken will be made from any final payment to you. The amount of such payment or deduction shall be 1/260th of your salary for each day.</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85"/>
        <w:gridCol w:w="40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0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ABSENCE THROUGH SICKNESS OR INJURY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sick pay scheme operates on trust and the Company relies on the integrity and honesty of the Executive to comply with the spirit of the scheme as well as the detailed rules set out in the Company’s policy. Anyone abusing the scheme will be dealt with under the disciplinary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absent from work and your illness or injury prevents you from working, the following sick pay benefits will apply. Provided that you have complied with all rules and procedures, you shall continue to receive your full pay and contractual benefits during any period of absence for up to 30 working days. This does not affect any entitlement you may have to receive Statutory Sick Pay (SSP) for the same periods of sickness absence, although any sick pay you receive from the Company shall be inclusive of any SSP due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maximum benefits apply to consecutive or to aggregate periods of sickness absence and run for a rolling twelve-month period starting with the first day of any sickness absence.</w:t>
      </w:r>
    </w:p>
    <w:p>
      <w:pPr>
        <w:pStyle w:val="TextBody"/>
        <w:bidi w:val="0"/>
        <w:spacing w:before="0" w:after="0"/>
        <w:ind w:left="0" w:right="0" w:hanging="0"/>
        <w:jc w:val="both"/>
        <w:rPr>
          <w:caps w:val="false"/>
          <w:smallCaps w:val="false"/>
        </w:rPr>
      </w:pPr>
      <w:r>
        <w:rPr>
          <w:caps w:val="false"/>
          <w:smallCaps w:val="false"/>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5</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any period of sickness absence, you are receiving salary payments but are not eligible for SSP, the Company may deduct from salary any benefits in relation to sickness or incapacity which you are entitled to claim (whether or not claimed). If the incapacity is or appears to be occasioned by actionable negligence, nuisance or breach of any statutory duty on the part of a third party in respect of which damages are or may be recoverable, you shall immediately notify the Board of that fact and of any claim, compromise, settlement or judgment made or awarded in connection with it and all relevant particulars that the Board may reasonably require. You shall if required by the Board, refund to the Company that part of any damages or compensation recovered by you relating to the loss of earnings for the period of the incapacity as the Company may reasonably determine less any costs borne by them in connection with the recovery of such damages or compensation, provided that the amount to be refunded shall not exceed the total amount paid to you by the Company in respect of the period of incapacity.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reference is made in these rules to SSP it shall be deemed to include any state sickness benefit which may be introduced in the future to replace SSP.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qualifying days for SSP purposes are Monday to Friday.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Company to terminate your employment under the terms of this Agreement apply even when such termination would or might cause you to forfeit any entitlement to sick pay or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absence reporting procedures form part of the contract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Notifying absence due to sickness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 is unable to attend work due to illness or injury the procedure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a reasonable timeframe on your first day of absence, you must contact a member of the Board, stating that you are out sick and the expected period of absence. You must keep this person informed of the progress of your recovery. To this end, you must again contact them on each subsequent day of absence, to discuss the progress of your recovery, unless another interval is agreed. If the incapacity lasts for between one and seven days (including a Saturday and/or Sunday), you must comply with the Company’s self-certification process.</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absent for more than seven days, you must forward a medical certificate issued by your GP to the Board without delay. If a delay is unavoidable, you should inform the Board immediately.</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absence continues, and further medical certification is required, you must continue to send medical certificates without delay.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to consent to any such request and to medical examinations (at the Company’s expense) by a doctor nominated by the Company should the Company so require.</w:t>
      </w:r>
    </w:p>
    <w:p>
      <w:pPr>
        <w:pStyle w:val="TextBody"/>
        <w:bidi w:val="0"/>
        <w:spacing w:before="0" w:after="0"/>
        <w:ind w:left="72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85"/>
        <w:gridCol w:w="19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PAID LEAVE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may be eligible to take the following types of paid leave, subject to any statutory eligibility requirements or conditions and the Company’s rules applicable to each type of leave in force from time to time:</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85"/>
        <w:gridCol w:w="342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maternity leave;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paternity leave;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adoption leave;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shared parental leave;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parental bereavement leave; and</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neonatal care leave.</w:t>
            </w:r>
          </w:p>
        </w:tc>
      </w:tr>
    </w:tbl>
    <w:p>
      <w:pPr>
        <w:pStyle w:val="TextBody"/>
        <w:bidi w:val="0"/>
        <w:spacing w:before="0" w:after="283"/>
        <w:jc w:val="left"/>
        <w:rPr/>
      </w:pPr>
      <w:r>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6</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such leave are available from Human Resources. The Company may replace, amend or withdraw the Company’s policy on any of the above types of leave at any time.</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90"/>
        <w:gridCol w:w="8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comply with its obligations under the Pension Act 2008. Further details of the Executive’s entitlement are available upon request.</w:t>
      </w:r>
    </w:p>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terms of this Agreement, the Executive’s employment will continue until terminated by either party in accordance with the notice periods set out below, which shall be determined by reference to the Executive’s length of continuous employment: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first 12 months of continuous employment: you may give the Company not less than </w:t>
            </w:r>
            <w:r>
              <w:rPr>
                <w:rFonts w:ascii="Times New Roman;Times;Serif" w:hAnsi="Times New Roman;Times;Serif"/>
                <w:b/>
                <w:i w:val="false"/>
                <w:caps w:val="false"/>
                <w:smallCaps w:val="false"/>
                <w:sz w:val="20"/>
              </w:rPr>
              <w:t>four (4) months</w:t>
            </w:r>
            <w:r>
              <w:rPr>
                <w:rFonts w:ascii="Times New Roman;Times;Serif" w:hAnsi="Times New Roman;Times;Serif"/>
                <w:b w:val="false"/>
                <w:i w:val="false"/>
                <w:caps w:val="false"/>
                <w:smallCaps w:val="false"/>
                <w:sz w:val="20"/>
              </w:rPr>
              <w:t xml:space="preserve"> written notice to terminate and the Company may give you not less than </w:t>
            </w:r>
            <w:r>
              <w:rPr>
                <w:rFonts w:ascii="Times New Roman;Times;Serif" w:hAnsi="Times New Roman;Times;Serif"/>
                <w:b/>
                <w:i w:val="false"/>
                <w:caps w:val="false"/>
                <w:smallCaps w:val="false"/>
                <w:sz w:val="20"/>
              </w:rPr>
              <w:t>six (6) months</w:t>
            </w:r>
            <w:r>
              <w:rPr>
                <w:rFonts w:ascii="Times New Roman;Times;Serif" w:hAnsi="Times New Roman;Times;Serif"/>
                <w:b w:val="false"/>
                <w:i w:val="false"/>
                <w:caps w:val="false"/>
                <w:smallCaps w:val="false"/>
                <w:sz w:val="20"/>
              </w:rPr>
              <w:t xml:space="preserve"> written notice to terminate;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twelve (12) months of continuous employment: you may give the Company not less than </w:t>
            </w:r>
            <w:r>
              <w:rPr>
                <w:rFonts w:ascii="Times New Roman;Times;Serif" w:hAnsi="Times New Roman;Times;Serif"/>
                <w:b/>
                <w:i w:val="false"/>
                <w:caps w:val="false"/>
                <w:smallCaps w:val="false"/>
                <w:sz w:val="20"/>
              </w:rPr>
              <w:t>five (5) months</w:t>
            </w:r>
            <w:r>
              <w:rPr>
                <w:rFonts w:ascii="Times New Roman;Times;Serif" w:hAnsi="Times New Roman;Times;Serif"/>
                <w:b w:val="false"/>
                <w:i w:val="false"/>
                <w:caps w:val="false"/>
                <w:smallCaps w:val="false"/>
                <w:sz w:val="20"/>
              </w:rPr>
              <w:t xml:space="preserve"> written notice to terminate and the Company may give you not less than </w:t>
            </w:r>
            <w:r>
              <w:rPr>
                <w:rFonts w:ascii="Times New Roman;Times;Serif" w:hAnsi="Times New Roman;Times;Serif"/>
                <w:b/>
                <w:i w:val="false"/>
                <w:caps w:val="false"/>
                <w:smallCaps w:val="false"/>
                <w:sz w:val="20"/>
              </w:rPr>
              <w:t>nine (9) months</w:t>
            </w:r>
            <w:r>
              <w:rPr>
                <w:rFonts w:ascii="Times New Roman;Times;Serif" w:hAnsi="Times New Roman;Times;Serif"/>
                <w:b w:val="false"/>
                <w:i w:val="false"/>
                <w:caps w:val="false"/>
                <w:smallCaps w:val="false"/>
                <w:sz w:val="20"/>
              </w:rPr>
              <w:t xml:space="preserve"> written notice to terminate;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eighteen (18) months of continuous employment: you may give the Company not less than </w:t>
            </w:r>
            <w:r>
              <w:rPr>
                <w:rFonts w:ascii="Times New Roman;Times;Serif" w:hAnsi="Times New Roman;Times;Serif"/>
                <w:b/>
                <w:i w:val="false"/>
                <w:caps w:val="false"/>
                <w:smallCaps w:val="false"/>
                <w:sz w:val="20"/>
              </w:rPr>
              <w:t>six (6) months</w:t>
            </w:r>
            <w:r>
              <w:rPr>
                <w:rFonts w:ascii="Times New Roman;Times;Serif" w:hAnsi="Times New Roman;Times;Serif"/>
                <w:b w:val="false"/>
                <w:i w:val="false"/>
                <w:caps w:val="false"/>
                <w:smallCaps w:val="false"/>
                <w:sz w:val="20"/>
              </w:rPr>
              <w:t xml:space="preserve"> written notice to terminate and the Company may give you not less than </w:t>
            </w:r>
            <w:r>
              <w:rPr>
                <w:rFonts w:ascii="Times New Roman;Times;Serif" w:hAnsi="Times New Roman;Times;Serif"/>
                <w:b/>
                <w:i w:val="false"/>
                <w:caps w:val="false"/>
                <w:smallCaps w:val="false"/>
                <w:sz w:val="20"/>
              </w:rPr>
              <w:t>twelve (12) months</w:t>
            </w:r>
            <w:r>
              <w:rPr>
                <w:rFonts w:ascii="Times New Roman;Times;Serif" w:hAnsi="Times New Roman;Times;Serif"/>
                <w:b w:val="false"/>
                <w:i w:val="false"/>
                <w:caps w:val="false"/>
                <w:smallCaps w:val="false"/>
                <w:sz w:val="20"/>
              </w:rPr>
              <w:t xml:space="preserve"> written notice to terminate.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notice period, the Company may in its sole and absolute discretion, terminate your employment at any time and with immediate effect by notifying you that the Company is exercising its right under this clause 11 and the Company will pay within twenty-eight (28) days a payment in lieu of notice, (“</w:t>
      </w:r>
      <w:r>
        <w:rPr>
          <w:rFonts w:ascii="Times New Roman;Times;Serif" w:hAnsi="Times New Roman;Times;Serif"/>
          <w:b/>
          <w:i w:val="false"/>
          <w:caps w:val="false"/>
          <w:smallCaps w:val="false"/>
          <w:sz w:val="20"/>
        </w:rPr>
        <w:t>Payment in Lieu”</w:t>
      </w:r>
      <w:r>
        <w:rPr>
          <w:rFonts w:ascii="Times New Roman;Times;Serif" w:hAnsi="Times New Roman;Times;Serif"/>
          <w:b w:val="false"/>
          <w:i w:val="false"/>
          <w:caps w:val="false"/>
          <w:smallCaps w:val="false"/>
          <w:sz w:val="20"/>
        </w:rPr>
        <w:t>) or the first instalment of any Payment in Lieu,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Payment in Lieu will be equal to your base salary (as at the date of termination) which you would have been entitled to receive under this agreement during the applicable Company notice period referred to above, less income tax and National Insurance contributions. For the avoidance of doubt, the Payment in Lieu shall not include any element in relation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bonus or commission payments that might otherwise have been due during the period for which the Payment in Lieu is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9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in respect of benefits which you would have been entitled to receive during the period for which the Payment in Lieu is made;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9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in respect of any holiday entitlement that would have accrued during the period for which the Payment in Lieu is made.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any sums due under this clause in equal monthly instalments until the date on which the notice period referred to in this clause would have expired if notice had been given. The Employee shall be obliged to seek alternative income during this period and to notify the Company of any income so received. The instalment payments shall then be reduced by the amount of such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no right to receive a Payment in Lieu unless the Company has exercised its discretion to make such a payment.</w:t>
      </w:r>
    </w:p>
    <w:p>
      <w:pPr>
        <w:pStyle w:val="TextBody"/>
        <w:bidi w:val="0"/>
        <w:spacing w:before="0" w:after="0"/>
        <w:ind w:left="0" w:right="0" w:hanging="0"/>
        <w:jc w:val="both"/>
        <w:rPr>
          <w:caps w:val="false"/>
          <w:smallCaps w:val="false"/>
        </w:rPr>
      </w:pPr>
      <w:r>
        <w:rPr>
          <w:caps w:val="false"/>
          <w:smallCaps w:val="false"/>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7</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notwithstanding any other provisions of this Agreement, at any time by notice in writing to you, terminate your employment with immediate effect and without Payment in Lieu: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convicted of a criminal offence (other than an offence under road traffic legislation in the United Kingdom or elsewhere for which a fine or non-custodial penalty is imposed);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guilty of any gross misconduct in the course of your employment;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commit any serious or (after warning) repeated breach of your material obligations under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behave in a manner (whether on or off duty) which in the reasonable opinion of the Board is likely to bring the Company into disrepute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by the Company in exercising its rights to terminate shall not constitute a waiver of these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has been served by either party, the Company may require you not to attend for work for a period equivalent to some or all of the notice period required to be given by either party (“</w:t>
      </w:r>
      <w:r>
        <w:rPr>
          <w:rFonts w:ascii="Times New Roman;Times;Serif" w:hAnsi="Times New Roman;Times;Serif"/>
          <w:b/>
          <w:i w:val="false"/>
          <w:caps w:val="false"/>
          <w:smallCaps w:val="false"/>
          <w:sz w:val="20"/>
        </w:rPr>
        <w:t>Garden Leave</w:t>
      </w:r>
      <w:r>
        <w:rPr>
          <w:rFonts w:ascii="Times New Roman;Times;Serif" w:hAnsi="Times New Roman;Times;Serif"/>
          <w:b w:val="false"/>
          <w:i w:val="false"/>
          <w:caps w:val="false"/>
          <w:smallCaps w:val="false"/>
          <w:sz w:val="20"/>
        </w:rPr>
        <w:t>”). If the Company elects to place you on Garden Leave for any period you must remain available throughout that period for work on a daily basis and holiday taken (if any) must still be booked in the normal way. Furthermore the Company may require you to not contact or deal with (or attempt to contact or deal with) any officer, employee, consultant, client, customer, supplier, agent, distributor, shareholder, adviser or other business contact of any Group Company during any period of Garden Leave, other than for purely social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of Garden Leave you will remain an employee of the Company. You will continue to receive your salary and other contractual entitlements (including, without limitation, with respect to bonus as though you would have otherwise continued to perform your duties) and to be bound by all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termination of your employment or upon the Company exercising its right to place you on Garden Leave, you will at the request of the Company resign without claim for compensation from any directorships or other posts or offices held by you in the Group or in connection with your employment. If you fail to do so, the Company may nominate someone on your behalf to sign such documents and to take such other steps as are necessary to give effect to such resignations.</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12 the following definitions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Confidential Information: </w:t>
      </w:r>
      <w:r>
        <w:rPr>
          <w:rFonts w:ascii="Times New Roman;Times;Serif" w:hAnsi="Times New Roman;Times;Serif"/>
          <w:b w:val="false"/>
          <w:i w:val="false"/>
          <w:caps w:val="false"/>
          <w:smallCaps w:val="false"/>
          <w:sz w:val="20"/>
        </w:rPr>
        <w:t>information (whether or not recorded in documentary form, or stored on any magnetic or optical disk or memory) relating to the business, products, affairs and finances of the Company or any Group Company for the time being confidential to the Company or such Group Company and trade secrets, including information which the Executive develops, creates, receives or obtains),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data and know-how relating to the business of the Company or any Group Company or any of its (or their) shareholders, investors, advertisers, clients, customers or commercial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the Group’s products/services (actual or proposed), industry knowledge and research, work processes and concepts, strategies, training programmes, new methods of advertising, and the Group’s “customer intelligence”;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customers, potential customers, investors, potential investors, suppliers, potential suppliers, resellers and potential resellers, their contact details (including contact names, telephone numbers and postal and email addresses), terms of business, requirements and prices charged and all other confidential aspects of their business relationships (or potential business relationships) with the Company and/or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methods, plans, strategies (including pricing strategies) marketing plans, sales forecasts, sales targets and statistics, market share and pricing statistics, marketing surveys and plans, market research reports, sales techniques, price lists and discount structures, the marketing or sales of any past, present or future products or services of the Company and/or any Group Company and advertising and other promotional material;</w:t>
            </w:r>
          </w:p>
        </w:tc>
      </w:tr>
    </w:tbl>
    <w:p>
      <w:pPr>
        <w:pStyle w:val="TextBody"/>
        <w:bidi w:val="0"/>
        <w:spacing w:before="0" w:after="283"/>
        <w:jc w:val="left"/>
        <w:rPr/>
      </w:pPr>
      <w:r>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8</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management and financial information, management systems, maturing business opportunities, results and forecasts (including draft, provisional and final figures), including dividend information, turnover and stock levels, profits and profit margins, credit policies, credit procedures, payment policies, payment procedures and systems for the same whether of the Company or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confidential proposals relating to the acquisition or disposal of any part or the whole of a company or business or to any proposed expansion or contraction of activities including future projects, business development or planning, commercial relationships or negotiations;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details of, and personal data relating to, employees, workers, consultants and officers (including agency workers) and of their performance and of the remuneration, fees and other benefits paid to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or threatened action involving the Company or any Group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which is treated as confidential or which the Executive is told or ought reasonably to know is confidential and any information which has been given to the Company or any Group Company in confidence.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acknowledge that during your employment with the Company you will have access to and will be entrusted with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during the course of your employment (otherwise than in the proper performance of your duties, and then only to those who need to know such information or secrets) or at any time thereafter, (except with the prior written consent of the Company or as required by law):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divulge or communicate to any person (including any representative of the press or broadcasting or other media);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or facilitate any unauthorised disclosure through any failure by you to exercise all due care and diligence;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use (other than to the benefit of the Group) of copy or memorise with a view to divulging to any person, company or using for any purposes (other than those of the Company or any Group Company) any Confidential Information.</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will not apply to:</w:t>
      </w:r>
    </w:p>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85"/>
        <w:gridCol w:w="9560"/>
      </w:tblGrid>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which has become available to the public generally, otherwise than through unauthorised disclosure;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5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use or disclosure authorised by the Board or required by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5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protected disclosure within the meaning of section 43A of the Employment Rights Act 1996;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5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 the Executive from reporting any matter to the police or responsible regulator.</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you agree that during the course of your employment you shall not make any adverse or derogatory comment about the Group Company, its directors or employees (including former directors and employees) and you acknowledge that a breach of this obligation will be considered a serious disciplinary matter.</w:t>
      </w:r>
    </w:p>
    <w:p>
      <w:pPr>
        <w:pStyle w:val="TextBody"/>
        <w:bidi w:val="0"/>
        <w:spacing w:before="0" w:after="0"/>
        <w:ind w:left="0" w:right="0" w:hanging="0"/>
        <w:jc w:val="both"/>
        <w:rPr>
          <w:caps w:val="false"/>
          <w:smallCaps w:val="false"/>
        </w:rPr>
      </w:pPr>
      <w:r>
        <w:rPr>
          <w:caps w:val="false"/>
          <w:smallCaps w:val="false"/>
        </w:rPr>
        <w:t> </w:t>
      </w:r>
    </w:p>
    <w:tbl>
      <w:tblPr>
        <w:tblW w:w="725" w:type="dxa"/>
        <w:jc w:val="left"/>
        <w:tblInd w:w="0" w:type="dxa"/>
        <w:tblLayout w:type="fixed"/>
        <w:tblCellMar>
          <w:top w:w="0" w:type="dxa"/>
          <w:left w:w="0" w:type="dxa"/>
          <w:bottom w:w="0" w:type="dxa"/>
          <w:right w:w="0" w:type="dxa"/>
        </w:tblCellMar>
      </w:tblPr>
      <w:tblGrid>
        <w:gridCol w:w="725"/>
      </w:tblGrid>
      <w:tr>
        <w:trPr/>
        <w:tc>
          <w:tcPr>
            <w:tcW w:w="725" w:type="dxa"/>
            <w:tcBorders/>
            <w:vAlign w:val="center"/>
          </w:tcPr>
          <w:p>
            <w:pPr>
              <w:pStyle w:val="TableContents"/>
              <w:bidi w:val="0"/>
              <w:spacing w:before="0" w:after="283"/>
              <w:jc w:val="right"/>
              <w:rPr/>
            </w:pPr>
            <w:r>
              <w:rPr>
                <w:b/>
              </w:rPr>
              <w:t>9</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Executive’s employer, the Company needs to keep and process information about you for normal employment purposes, and as a company pursuing digital media activities, we may sometimes need to process your data to pursue our legitimate business interests. The information we hold, and process will be used for our management and administrative use only. We will keep and use it to enable us to run the business and manage our relationship with you effectively, lawfully and appropriately, during the recruitment process, whilst you are working for us, at the time when your employment ends and after you have left. This includes using information to enable us to comply with the employment contract, to comply with any legal requirements, pursue the legitimate interests of the Company and protect our legal position in the event of legal proceedings. By applying for and entering into employment with us, you hereby grant consent for the Company to process this data for the above-mentioned purposes, and in accordance with our Employee Handbook. If you do not provide this data, we may be unable in some circumstances to comply with our obligations and we will advise you about the implications of that decision. Further details are as set out in the Company’s data protection policy, available from Human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comply with the data protection policy when handling personal data in the course of employment including personal data relating to any employee, worker, contractor, customer, client, supplier or agent of ours. You will also comply with our IT and communications systems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updating Human Resources of any changes to your home address and other contact details.</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90"/>
        <w:gridCol w:w="13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MONITORING</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agrees that the Company, or any other member of the Group, may monitor, intercept or record your use of company equipment including, but not limited to, email and internet usage.</w:t>
      </w:r>
    </w:p>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290"/>
        <w:gridCol w:w="56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56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INTERNET AND SOFTWARE ACCEPTABLE POLICY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must be aware and adhere to Company’s Computer and the Internet Policy, a copy being available from Human Resources. Failure to comply with the provisions of this policy may lead to appropriate disciplinary action being taken. This is a policy document which does not form part of your terms and conditions of employment and which may be changed from time to time.</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CONVICTIONS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is required to disclose any conviction which is not spent by virtue of the Rehabilitation of Offenders Act 1974. Similarly, if you receive any conviction during your employment, it should be disclosed to the Company.</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90"/>
        <w:gridCol w:w="32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3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OF TRADE UNIONS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collective agreements in existence which directly affect the Executive’s terms and conditions.</w:t>
      </w:r>
    </w:p>
    <w:p>
      <w:pPr>
        <w:pStyle w:val="TextBody"/>
        <w:bidi w:val="0"/>
        <w:spacing w:before="0" w:after="0"/>
        <w:ind w:left="72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90"/>
        <w:gridCol w:w="25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5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GRIEVANCE PROCEDURES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recognises that misunderstandings or grievances may sometimes occur. It is vital these grievances are brought out into the open and resolved fairly and as quickly as possible. In most cases, this can be done on an entirely informal basis. However, there may be occasions when a more formal approach is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 grievance relating to your appointment, you should raise this with the Board in writing in accordance with our Grievance Procedure. The Company’s Grievance Procedure a non-contractual policy document, a copy of which is available from Human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 does not form part of your terms and conditions of employment and the Company may amend it from time to time or depart from it where it is reasonable to do so.</w:t>
      </w:r>
    </w:p>
    <w:p>
      <w:pPr>
        <w:pStyle w:val="TextBody"/>
        <w:bidi w:val="0"/>
        <w:spacing w:before="0" w:after="0"/>
        <w:ind w:left="0" w:right="0" w:hanging="0"/>
        <w:jc w:val="both"/>
        <w:rPr>
          <w:caps w:val="false"/>
          <w:smallCaps w:val="false"/>
        </w:rPr>
      </w:pPr>
      <w:r>
        <w:rPr>
          <w:caps w:val="false"/>
          <w:smallCaps w:val="false"/>
        </w:rPr>
        <w:t> </w:t>
      </w:r>
    </w:p>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vAlign w:val="center"/>
          </w:tcPr>
          <w:p>
            <w:pPr>
              <w:pStyle w:val="TableContents"/>
              <w:bidi w:val="0"/>
              <w:spacing w:before="0" w:after="283"/>
              <w:jc w:val="right"/>
              <w:rPr/>
            </w:pPr>
            <w:r>
              <w:rPr>
                <w:b/>
              </w:rPr>
              <w:t>10</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DISCIPLINARY PROCEDURES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is expected to behave in a responsible manner at all times and is also expected to comply with the standards, practices, policies and reasonable instructions that are essential for the efficient operation of the business and for the well-being, health and safety of those employed in it. Failure to meet these standards renders an employee liable to disciplinary action. You are subject to our disciplinary policy, a copy of the which is available from Human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suspend you from any or all of your duties for no longer than is necessary to investigate any disciplinary matter involving you or so long as is otherwise reasonable while any disciplinary procedure against you is outstanding. The Company may attach conditions to any such suspension. You must comply with any such conditions and co-operate fully with any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of suspension: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remain our employee and bound by the terms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ensure that the Board knows where you will be and how you can be contacted during each working day (except during any periods taken as holiday in the usual way);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exclude you from any of our or any Group Company’s premises;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require you not to contact or deal with (or attempt to contact or deal with) any officer, employee, consultant, client, customer, supplier, agent, distributor, shareholder, adviser or other business contact of ours or any Group Company.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discretion, continue your normal pay and benefits during suspension or may suspend you without pay in cases of alleged serious misconduct or breach of the Company’s disciplinary procedure. Any period of unpaid suspension will be reasonable and proportionate to the nature of the alleged misconduct or breach. During any unpaid suspension, you will not be entitled to remuneration, benefits, or accrual of contractual holiday entitlement.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appeal against a disciplinary decision you may apply in writing to the Executive Director of Human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Disciplinary Policy is a non-contractual policy document and the Company may amend it from time to time or depart from it where it is reasonable to do so.</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90"/>
        <w:gridCol w:w="38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3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POLICIES AND PROCEDURES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Handbook contains details of the Company’s Policies and Procedures, as well as other employment-related information.</w:t>
      </w:r>
    </w:p>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21 the following definitions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Intellectual Property Rights: </w:t>
      </w:r>
      <w:r>
        <w:rPr>
          <w:rFonts w:ascii="Times New Roman;Times;Serif" w:hAnsi="Times New Roman;Times;Serif"/>
          <w:b w:val="false"/>
          <w:i w:val="false"/>
          <w:caps w:val="false"/>
          <w:smallCaps w:val="false"/>
          <w:sz w:val="20"/>
        </w:rPr>
        <w:t>patents, rights to Inventions, copyright and related rights, trademarks, trade names and domain names, rights in get-up, rights in goodwill or to sue for passing off, rights in designs, rights in computer software, database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may now or in the future subsist in any part of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Invention:</w:t>
      </w:r>
      <w:r>
        <w:rPr>
          <w:rFonts w:ascii="Times New Roman;Times;Serif" w:hAnsi="Times New Roman;Times;Serif"/>
          <w:b w:val="false"/>
          <w:i w:val="false"/>
          <w:caps w:val="false"/>
          <w:smallCaps w:val="false"/>
          <w:sz w:val="20"/>
        </w:rPr>
        <w:t xml:space="preserve"> any invention, idea, discovery, development, improvement or innovation, whether or not patentable or capable of registration, and whether or not recorded in any medium.</w:t>
      </w:r>
    </w:p>
    <w:p>
      <w:pPr>
        <w:pStyle w:val="TextBody"/>
        <w:bidi w:val="0"/>
        <w:spacing w:before="0" w:after="0"/>
        <w:ind w:left="0" w:right="0" w:hanging="0"/>
        <w:jc w:val="both"/>
        <w:rPr>
          <w:caps w:val="false"/>
          <w:smallCaps w:val="false"/>
        </w:rPr>
      </w:pPr>
      <w:r>
        <w:rPr>
          <w:caps w:val="false"/>
          <w:smallCaps w:val="false"/>
        </w:rPr>
        <w:t> </w:t>
      </w:r>
    </w:p>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vAlign w:val="center"/>
          </w:tcPr>
          <w:p>
            <w:pPr>
              <w:pStyle w:val="TableContents"/>
              <w:bidi w:val="0"/>
              <w:spacing w:before="0" w:after="283"/>
              <w:jc w:val="right"/>
              <w:rPr/>
            </w:pPr>
            <w:r>
              <w:rPr>
                <w:b/>
              </w:rPr>
              <w:t>11</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shall disclose to the Company full written details of all Inventions and of all works embodying Intellectual Property Rights made wholly or partially by you at any time during the course of your employment which relate to, or are reasonably capable of being used in, the business of any Group Company. You acknowledge that all Intellectual Property Rights subsisting (or which may in the future subsist) in all such Inventions and works shall automatically, on creation, vest in the Company absolutely.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irrevocably waive all moral rights under the Copyright, Designs and Patents Act 1988 (and all similar rights in other jurisdictions) which you have or will have in any existing or future works referred to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irrevocably appoint the Company to be your attorney to sign any document required and to use your name for the purpose of giving the Company (or its nominee) the benefit of this clause 21 and acknowledge in favour of any interested third party that a certificate in writing signed by any Director or the Secretary of the Company that any instrument or act falls within the authority conferred by this clause 21 be conclusive evidence of such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to waive and not assert any moral rights to which you may be entitled under the CDPA in respect of any work done by you, the rights in which are vested in the Company. Any credit for work done will be given at the sole discretion of the publisher.</w:t>
      </w:r>
    </w:p>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90"/>
        <w:gridCol w:w="36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36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AFTER EMPLOYMENT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22 the following definitions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Capacity:</w:t>
      </w:r>
      <w:r>
        <w:rPr>
          <w:rFonts w:ascii="Times New Roman;Times;Serif" w:hAnsi="Times New Roman;Times;Serif"/>
          <w:b w:val="false"/>
          <w:i w:val="false"/>
          <w:caps w:val="false"/>
          <w:smallCaps w:val="false"/>
          <w:sz w:val="20"/>
        </w:rPr>
        <w:t xml:space="preserve"> as agent, consultant, employee, worker, director, owner, partner, shareholder or in any other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Prospective Customer: </w:t>
      </w:r>
      <w:r>
        <w:rPr>
          <w:rFonts w:ascii="Times New Roman;Times;Serif" w:hAnsi="Times New Roman;Times;Serif"/>
          <w:b w:val="false"/>
          <w:i w:val="false"/>
          <w:caps w:val="false"/>
          <w:smallCaps w:val="false"/>
          <w:sz w:val="20"/>
        </w:rPr>
        <w:t>any firm, company or person with whom the Company or any Group Company was in material discussions during the Relevant Period with a view to that organisation becoming a customer of the Company, and with whom the Executive had material dealings during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Relevant Period: </w:t>
      </w:r>
      <w:r>
        <w:rPr>
          <w:rFonts w:ascii="Times New Roman;Times;Serif" w:hAnsi="Times New Roman;Times;Serif"/>
          <w:b w:val="false"/>
          <w:i w:val="false"/>
          <w:caps w:val="false"/>
          <w:smallCaps w:val="false"/>
          <w:sz w:val="20"/>
        </w:rPr>
        <w:t>the twelve (12) month period prior to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Restricted Business: </w:t>
      </w:r>
      <w:r>
        <w:rPr>
          <w:rFonts w:ascii="Times New Roman;Times;Serif" w:hAnsi="Times New Roman;Times;Serif"/>
          <w:b w:val="false"/>
          <w:i w:val="false"/>
          <w:caps w:val="false"/>
          <w:smallCaps w:val="false"/>
          <w:sz w:val="20"/>
        </w:rPr>
        <w:t>those parts of the business of the Company and any Group Company with which you were involved to a material extent in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Customer:</w:t>
      </w:r>
      <w:r>
        <w:rPr>
          <w:rFonts w:ascii="Times New Roman;Times;Serif" w:hAnsi="Times New Roman;Times;Serif"/>
          <w:b w:val="false"/>
          <w:i w:val="false"/>
          <w:caps w:val="false"/>
          <w:smallCaps w:val="false"/>
          <w:sz w:val="20"/>
        </w:rPr>
        <w:t xml:space="preserve"> any firm, company or person who, during the Relevant Period was a customer or Prospective Customer of the Company or any Group Company and with whom you had dealings at any time during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Person:</w:t>
      </w:r>
      <w:r>
        <w:rPr>
          <w:rFonts w:ascii="Times New Roman;Times;Serif" w:hAnsi="Times New Roman;Times;Serif"/>
          <w:b w:val="false"/>
          <w:i w:val="false"/>
          <w:caps w:val="false"/>
          <w:smallCaps w:val="false"/>
          <w:sz w:val="20"/>
        </w:rPr>
        <w:t xml:space="preserve"> anyone employed or engaged by the Company or any Group Company in a managerial, sales, creative or technical role with whom you had material contact or dealings at any time during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xml:space="preserve"> the date on which your employment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the confidential information and business connections of the Company and each Group Company to which you have access as a result of your employment, you covenant with the Company that you shall not: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twelve (12) months from the Termination Date, solicit or endeavour to entice away from the Company or any Group Company the business or custom of a Restricted Customer with a view to providing goods or services to that Restricted Customer in competition with any Restricted Business;</w:t>
            </w:r>
          </w:p>
        </w:tc>
      </w:tr>
    </w:tbl>
    <w:p>
      <w:pPr>
        <w:pStyle w:val="TextBody"/>
        <w:bidi w:val="0"/>
        <w:spacing w:before="0" w:after="283"/>
        <w:jc w:val="left"/>
        <w:rPr/>
      </w:pPr>
      <w:r>
        <w:rPr/>
        <w:t> </w:t>
      </w:r>
    </w:p>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vAlign w:val="center"/>
          </w:tcPr>
          <w:p>
            <w:pPr>
              <w:pStyle w:val="TableContents"/>
              <w:bidi w:val="0"/>
              <w:spacing w:before="0" w:after="283"/>
              <w:jc w:val="right"/>
              <w:rPr/>
            </w:pPr>
            <w:r>
              <w:rPr>
                <w:b/>
              </w:rPr>
              <w:t>12</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twelve (12) months from the Termination Date, be involved with the provision of goods or services to (or otherwise have any business dealings with) any Restricted Customer in the course of any business concern which is in competition with any Restricted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twelve (12) months from the Termination Date in the course of any business concern which is in competition with any Restricted Business, offer to employ or engage or otherwise endeavour to entice away from the Company or any Group Company any Restricted Person.</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imposed on you by this clause 22 apply to you acting directly or indirectly; and on your own behalf or on behalf of, or in conjunction with, any firm, company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periods for which the restrictions in this clause 22 apply shall be reduced by any period that you spend on Garden Leave immediately before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an offer to be involved in a business concern in any capacity during the Employment, or before the expiry of the last of the covenants in this clause 22 you shall give the person making the offer a copy of this clause and shall tell the Company the identity of that person as soon as possible after accepting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your employment, two or more Restricted Persons have left their employment, appointment or engagement with the Company to carry out services for a business concern which competes with, or is intended to compete with any Restricted Business, you will not at any time during the six (6) months following the last date on which any of those Restricted Persons were employed or engaged by the Company, be employed or engaged in any way with that business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restrictions in this Clause 22 shall prevent you from: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an investment by way of shares or other securities of not more than 5% of the total issued share capital of any company, whether or not it is listed or dealt in on a recognised stock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engaged or concerned in any business concern insofar as your duties or work shall relate solely to geographical areas where the business concern is not in competition with any Restricted Business;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engaged or concerned in any business concern, provided that your duties or work shall relate solely to services or activities of a kind with which you were not concerned to a material extent in the 12 months before the Termination Date.</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acknowledge that each of the restrictions in this clause 22 is intended to be separate and distinct and is to be construed as such.</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90"/>
        <w:gridCol w:w="49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4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OF COMPANY PROPERTY AND PASSWORDS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your employment the Executive must: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return all items of the Company’s property which you have in your possession in connection with your employment (including any car, keys, security pass, mobile phone, computer, disks, tapes, memory sticks, business cards, credit cards, documents or copies of documents);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document or information belonging to the Company on a personal computer (which is not to be returned under the above provisions), forward a copy to the Company and then irretrievably delete the document or information. You will permit the Company to inspect any such computer on request to ensure such steps have been taken.</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asked to do so, you must inform the Company of any computer passwords used by you in the course of your employment or any passwords of which you are otherwise aware.</w:t>
      </w:r>
    </w:p>
    <w:p>
      <w:pPr>
        <w:pStyle w:val="TextBody"/>
        <w:bidi w:val="0"/>
        <w:spacing w:before="0" w:after="0"/>
        <w:ind w:left="0" w:right="0" w:hanging="0"/>
        <w:jc w:val="both"/>
        <w:rPr>
          <w:caps w:val="false"/>
          <w:smallCaps w:val="false"/>
        </w:rPr>
      </w:pPr>
      <w:r>
        <w:rPr>
          <w:caps w:val="false"/>
          <w:smallCaps w:val="false"/>
        </w:rPr>
        <w:t> </w:t>
      </w:r>
    </w:p>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vAlign w:val="center"/>
          </w:tcPr>
          <w:p>
            <w:pPr>
              <w:pStyle w:val="TableContents"/>
              <w:bidi w:val="0"/>
              <w:spacing w:before="0" w:after="283"/>
              <w:jc w:val="right"/>
              <w:rPr/>
            </w:pPr>
            <w:r>
              <w:rPr>
                <w:b/>
              </w:rPr>
              <w:t>13</w:t>
            </w:r>
            <w:r>
              <w:rPr/>
              <w:t xml:space="preserve"> of </w:t>
            </w:r>
            <w:r>
              <w:rPr>
                <w:b/>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to reimburse the Company for any unreasonable loss or damage to Company property which was caused by your misconduct, negligence or neglect of duty. Should such a loss not be reimbursed promptly by you, you agree that the Company may deduct the appropriate sum from any pay due to you on the termination of your employment.</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90"/>
        <w:gridCol w:w="21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SAFETY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health and safety legislation, the Executive must: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reasonable care for the health and safety of yourself and other persons who may be affected by your acts or omissions;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co-operate with the Company to enable the Company to ensure so far as is reasonably practicable the health, safety and welfare at work of all the Company’s employees and to comply with any other duties or requirements relating to health and safety;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interfere with or misuse anything provided by the Company in the interests of health, safety or welfare.</w:t>
            </w:r>
          </w:p>
        </w:tc>
      </w:tr>
    </w:tbl>
    <w:p>
      <w:pPr>
        <w:pStyle w:val="TextBody"/>
        <w:bidi w:val="0"/>
        <w:spacing w:before="0" w:after="283"/>
        <w:jc w:val="left"/>
        <w:rPr/>
      </w:pPr>
      <w:r>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TRAINING</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Executive’s employment, you are entitled to take part in various training courses which the Company may provide from time to time in-house. Specific details of what courses might be available will be provided to you from time to time and it is anticipated will include training on compliance issues relating to responsibilities associated with working within a listed business.</w:t>
      </w:r>
    </w:p>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not entitled to any benefits during your appointment. The Company, in its sole and absolute discretion, reserves the right to replace, amend or withdraw such benefits at any time on reasonable notice to you. The Company shall not be liable to provide you with any replacement benefit of the same or similar kind or to pay any compensation in lieu of such benefit.</w:t>
      </w:r>
    </w:p>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90"/>
        <w:gridCol w:w="9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entered into by the Company for itself and in trust for each Group Company, with the intention that each Company will be entitled to enforce the terms of this Agreement directly against the Executive. The Contracts (Rights of Third Parties) Act 1999 will not create any rights in favour of you in relation to the benefits granted now or at any time in connection with your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communications posted to you should be sent to your last known domestic address, according to the Company’s HR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be construed in accordance with English law and the parties irrevocably submit to the exclusive jurisdiction in the English court to settle any disputes which may arise in the nature of this Agreement.</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90"/>
        <w:gridCol w:w="13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Group Company: </w:t>
      </w:r>
      <w:r>
        <w:rPr>
          <w:rFonts w:ascii="Times New Roman;Times;Serif" w:hAnsi="Times New Roman;Times;Serif"/>
          <w:b w:val="false"/>
          <w:i w:val="false"/>
          <w:caps w:val="false"/>
          <w:smallCaps w:val="false"/>
          <w:sz w:val="20"/>
        </w:rPr>
        <w:t>the Company, its Subsidiaries or Holding Company from time to time and any Subsidiary of any Holding Company from time to time (and “Group” will be interpreted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Subsidiary and Holding Company</w:t>
      </w:r>
      <w:r>
        <w:rPr>
          <w:rFonts w:ascii="Times New Roman;Times;Serif" w:hAnsi="Times New Roman;Times;Serif"/>
          <w:b w:val="false"/>
          <w:i w:val="false"/>
          <w:caps w:val="false"/>
          <w:smallCaps w:val="false"/>
          <w:sz w:val="20"/>
        </w:rPr>
        <w:t>: in relation to a company mean “subsidiary” and “holding company” as defined in section 1159 of the Companies Act 2006 and a company shall be treated, for the purposes only of the membership requirement contained in subsections 1159(1)(b) and (c), as a member of another company even if its shares in that other company are registered in the name of (a) another person (or its nominee), whether by way of security or in connection with the taking of security, or (b) a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acknowledge your acceptance and agreement to the terms outlined by signing this contract and return a copy to the HR Department.</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800"/>
        <w:gridCol w:w="2285"/>
        <w:gridCol w:w="75"/>
      </w:tblGrid>
      <w:tr>
        <w:trPr/>
        <w:tc>
          <w:tcPr>
            <w:tcW w:w="8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Signed:</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Motorsport Games Ltd.</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Stephen Hood</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Stephen Hood</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Title:</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Dated:</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17, 2026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 to the employment with the Company on the terms as set out above and confirm that I have received a copy of this Contract of Employment and have read and understood it and also that it supersedes any previous agreement between myself and the Company.</w:t>
      </w:r>
    </w:p>
    <w:p>
      <w:pPr>
        <w:pStyle w:val="TextBody"/>
        <w:bidi w:val="0"/>
        <w:spacing w:before="0" w:after="0"/>
        <w:ind w:left="0" w:right="0" w:hanging="0"/>
        <w:jc w:val="both"/>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665"/>
        <w:gridCol w:w="2660"/>
        <w:gridCol w:w="60"/>
        <w:gridCol w:w="650"/>
        <w:gridCol w:w="1370"/>
      </w:tblGrid>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2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Peter Hansen-Chambers</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17, 2026</w:t>
            </w:r>
          </w:p>
        </w:tc>
      </w:tr>
      <w:tr>
        <w:trPr/>
        <w:tc>
          <w:tcPr>
            <w:tcW w:w="66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Peter Hansen-Chambers</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vAlign w:val="center"/>
          </w:tcPr>
          <w:p>
            <w:pPr>
              <w:pStyle w:val="TableContents"/>
              <w:bidi w:val="0"/>
              <w:spacing w:before="0" w:after="283"/>
              <w:jc w:val="right"/>
              <w:rPr/>
            </w:pPr>
            <w:r>
              <w:rPr>
                <w:b/>
              </w:rPr>
              <w:t>14</w:t>
            </w:r>
            <w:r>
              <w:rPr/>
              <w:t xml:space="preserve"> of </w:t>
            </w:r>
            <w:r>
              <w:rPr>
                <w:b/>
              </w:rPr>
              <w:t>14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10-2.htm"/>
      <w:bookmarkStart w:id="28" w:name="ksex102"/>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AMENDMENT TO EXECUTIVE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Executive Employment Agreement (this “Amendment”) is entered into as of July 1, 2026 (the “Amendment Effective Date”), by and between Motorsport Games Inc., a Delaware corporation, with principal executive offices currently located at 3350 SW 148th Avenue, Suite 207, Miramar, FL 33027 (the “Company”), and Stanley Beckley (“Executive”) (each, a “Party,” and collectively,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Executive entered into an Executive Employment Agreement dated as of March 27, 2026 (the “Original Agreement”), pursuant to which Executive was employed as Chief Financial Officer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amend the Original Agreement to reflect Executive’s change in position, duties, and compensation,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Amendments to Position and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Position.</w:t>
      </w:r>
      <w:r>
        <w:rPr>
          <w:rFonts w:ascii="Times New Roman;Times;Serif" w:hAnsi="Times New Roman;Times;Serif"/>
          <w:b w:val="false"/>
          <w:i w:val="false"/>
          <w:caps w:val="false"/>
          <w:smallCaps w:val="false"/>
          <w:sz w:val="20"/>
        </w:rPr>
        <w:t xml:space="preserve"> Section 1.1 of the Original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t xml:space="preserve"> Executive is employed as Chief Accounting and Compliance Officer of the Company. Executive’s principal place of employment shall be the Company’s Miramar, Florida office and Executive agrees that Executive may only relocate his principal place of employment outside of Florida only with prior notice and written consent of the Board of Directors (the ‘Board’). Executive may be required to travel as reasonably necessary to fulfill his duties and responsibilities.”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Duties. </w:t>
      </w:r>
      <w:r>
        <w:rPr>
          <w:rFonts w:ascii="Times New Roman;Times;Serif" w:hAnsi="Times New Roman;Times;Serif"/>
          <w:b w:val="false"/>
          <w:i w:val="false"/>
          <w:caps w:val="false"/>
          <w:smallCaps w:val="false"/>
          <w:sz w:val="20"/>
        </w:rPr>
        <w:t>Section 1.2 of the Original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Duties.</w:t>
      </w:r>
      <w:r>
        <w:rPr>
          <w:rFonts w:ascii="Times New Roman;Times;Serif" w:hAnsi="Times New Roman;Times;Serif"/>
          <w:b w:val="false"/>
          <w:i w:val="false"/>
          <w:caps w:val="false"/>
          <w:smallCaps w:val="false"/>
          <w:sz w:val="20"/>
        </w:rPr>
        <w:t xml:space="preserve"> Executive shall be designated as the Company’s Principal Accounting Officer and shall be responsible for overseeing the Company’s accounting operations, financial reporting, internal controls, and compliance with applicable accounting standards and regulations, including without limitation the duties and responsibilities set forth on Schedule A attached hereto and incorporated herein by reference, subject to the lawful directives of the Chief Executive Officer (‘CEO’), the Chief Financial Officer, and the Board.</w:t>
      </w:r>
    </w:p>
    <w:p>
      <w:pPr>
        <w:pStyle w:val="TextBody"/>
        <w:bidi w:val="0"/>
        <w:spacing w:before="0" w:after="0"/>
        <w:ind w:left="72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 xml:space="preserve">Page </w:t>
            </w:r>
            <w:r>
              <w:rPr>
                <w:b/>
              </w:rPr>
              <w:t>1</w:t>
            </w:r>
            <w:r>
              <w:rPr/>
              <w:t xml:space="preserve"> of </w:t>
            </w:r>
            <w:r>
              <w:rPr>
                <w:b/>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Amendments to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Base Salary. </w:t>
      </w:r>
      <w:r>
        <w:rPr>
          <w:rFonts w:ascii="Times New Roman;Times;Serif" w:hAnsi="Times New Roman;Times;Serif"/>
          <w:b w:val="false"/>
          <w:i w:val="false"/>
          <w:caps w:val="false"/>
          <w:smallCaps w:val="false"/>
          <w:sz w:val="20"/>
        </w:rPr>
        <w:t>Section 2.1 of the Original Agreement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xml:space="preserve"> The Company shall pay Executive a base salary at the annual rate of $250,000, payable in accordance with the Company’s regular payroll practices and subject to applicable withholdings and deductions (‘Base Salary’).”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Additional Bonuses</w:t>
      </w:r>
      <w:r>
        <w:rPr>
          <w:rFonts w:ascii="Times New Roman;Times;Serif" w:hAnsi="Times New Roman;Times;Serif"/>
          <w:b w:val="false"/>
          <w:i w:val="false"/>
          <w:caps w:val="false"/>
          <w:smallCaps w:val="false"/>
          <w:sz w:val="20"/>
        </w:rPr>
        <w:t>. In consideration of Executive’s acceptance of the amended terms set forth in this Amendment, including the waivers and releases contained in Sections 3 and 4 hereof, the Company shall pay Executive the following amounts, subject to applicable withholdings and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A pro rata bonus for Executive’s service as Chief Financial Officer for the period from January 1, 2026 through June 30, 2026, calculated based on the annual bonus opportunity set forth in Section 2.2 of the Original Agreement, subject to approval by the Compensation Committee of the Board, to be paid to Executive in 2027.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A one-time signing bonus in the amount of Seven Thousand Dollars ($7,000) (the “Signing Bonus”), payable within thirty (30) days following the Release Effective Date (as defined in Section 4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Waiver of Severance Claims.</w:t>
      </w:r>
      <w:r>
        <w:rPr>
          <w:rFonts w:ascii="Times New Roman;Times;Serif" w:hAnsi="Times New Roman;Times;Serif"/>
          <w:b w:val="false"/>
          <w:i w:val="false"/>
          <w:caps w:val="false"/>
          <w:smallCaps w:val="false"/>
          <w:sz w:val="20"/>
        </w:rPr>
        <w:t xml:space="preserve"> Executive acknowledges and agrees that the changes effected by this Amendment, including, without limitation, the change in Executive’s title from Chief Financial Officer to Chief Accounting and Compliance Officer, the reduction in Base Salary, and any changes to Executive’s duties and responsibilities, constitute changes to the terms of Executive’s employment under the Original Agreement. In consideration of Executive’s continued employment with the Company in the role of Chief Accounting and Compliance Officer, the Signing Bonus described in Section 2.2 above, and the other good and valuable consideration set forth herein, Executive hereby voluntarily and knowingly waives any and all rights to claim that such changes, individually or in the aggregate, constitute “Good Reason” as defined in Section 4.1.4 of the Original Agreement or otherwise entitle Executive to severance, separation pay, or any other compensation or benefits arising from or related to such change in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Waiver and General Release of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In consideration of Executive’s continued employment with the Company in the role of Chief Accounting and Compliance Officer, the Signing Bonus described in Section 2.2 above, and the other good and valuable consideration set forth herein, Executive, on behalf of Executive and Executive’s heirs, executors, administrators, successors, and assigns, hereby irrevocably and unconditionally releases, waives, and forever discharges the Company and its subsidiaries, affiliates, predecessors, successors, assigns, and their respective current and former officers, directors, employees, agents, representatives, attorneys, and insurers (collectively, the “Released Parties”) from any and all claims, demands, actions, causes of action, suits, damages, losses, costs, expenses, and liabilities of whatever kind or nature, whether known or unknown, suspected or unsuspected, that Executive has or may have against any of the Released Parties arising out of, relating to, or in connection with Executive’s change in position from Chief Financial Officer to Chief Accounting and Compliance Officer, including, without limitation: (a) any and all claims of discrimination, retaliation, or harassment arising out of or relating to, to the extent applicable, Title VII of the Civil Rights Act of 1964, the Civil Rights Act of 1866, the Americans with Disabilities Act, the Age Discrimination in Employment Act, the Family and Medical Leave Act, the Florida Civil Rights Act, Chapter 11A of the Code of Ordinances of Miami-Dade County, Florida, or any other federal, state, or local anti-discrimination, whistleblower, or anti-retaliation statute, regulation, or ordinance; (b) any claims arising under the Occupational Safety and Health Act of 1970, the United States Equal Pay Act of 1963, the Racketeer Influence and Corrupt Organizations Act, qui tam claims under the False Claims Act, or any other applicable federal, state, or local statutes or regulations; (c) any claims sounding in tort, including without limitation wrongful discharge, constructive discharge, defamation, intentional or negligent infliction of emotional distress, interference with past, present, or prospective contractual or business relationships, negligence, or fraud; (d) any claims sounding in contract, whether express or implied, written or oral; and (e) any claims arising under the common law of any jurisdiction.</w:t>
      </w:r>
    </w:p>
    <w:p>
      <w:pPr>
        <w:pStyle w:val="TextBody"/>
        <w:bidi w:val="0"/>
        <w:spacing w:before="0" w:after="0"/>
        <w:ind w:left="0" w:right="0" w:firstLine="72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 xml:space="preserve">Page </w:t>
            </w:r>
            <w:r>
              <w:rPr>
                <w:b/>
              </w:rPr>
              <w:t>2</w:t>
            </w:r>
            <w:r>
              <w:rPr/>
              <w:t xml:space="preserve"> of </w:t>
            </w:r>
            <w:r>
              <w:rPr>
                <w:b/>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val="false"/>
          <w:i w:val="false"/>
          <w:caps w:val="false"/>
          <w:smallCaps w:val="false"/>
          <w:sz w:val="20"/>
        </w:rPr>
        <w:t>Executive represents and warrants that: (a) Executive has not filed, and will not file, any complaint, charge, or lawsuit against any Released Party with any local, state, or federal agency or court relating to the matters released herein; (b) Executive has been advised, and hereby is advised in writing, to consult with an attorney of Executive’s choosing prior to executing this Amendment; (c) Executive has had at least twenty-one (21) calendar days to consider the terms of this waiver and release (Executive may accept at any time before the expiration of such period); (d) Executive has seven (7) calendar days following Executive’s execution of this Amendment to revoke this waiver and release by delivering written notice of revocation to the Company’s CEO, Stephen Hood (sh@motorsportgames.com); and (e) this waiver and release shall not become effective or enforceable until the revocation period has expired without Executive exercising Executive’s right to revoke (the “Release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w:t>
      </w:r>
      <w:r>
        <w:rPr>
          <w:rFonts w:ascii="Times New Roman;Times;Serif" w:hAnsi="Times New Roman;Times;Serif"/>
          <w:b w:val="false"/>
          <w:i w:val="false"/>
          <w:caps w:val="false"/>
          <w:smallCaps w:val="false"/>
          <w:sz w:val="20"/>
        </w:rPr>
        <w:t>Nothing in this Section 4 shall be construed to waive or limit Executive’s right to file a charge with, or participate in an investigation conducted by, the Equal Employment Opportunity Commission, the Securities and Exchange Commission, or any other federal, state, or local governmental agency or commission (collectively, “Government Agencies”), or to report possible violations of any law or regulation to any Government Agency; provided, however, that Executive waives any right to recover monetary damages or other individual relief in connection with any such charge, investigation, or report, except that Executive does not waive any right to receive an award from the Securities and Exchange Commission for information provided to the Securities and Exchange Commission. Additionally, nothing herein shall constitute a waiver or release of any rights or claims that cannot be waived or released as a matter of law, including without limitation any claims for workers’ compensation benefits, unemployment insurance benefits, or vested benefits under any employee benefit plan governed by the Employee Retirement Income Security Act of 1974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Continuing Effect.</w:t>
      </w:r>
      <w:r>
        <w:rPr>
          <w:rFonts w:ascii="Times New Roman;Times;Serif" w:hAnsi="Times New Roman;Times;Serif"/>
          <w:b w:val="false"/>
          <w:i w:val="false"/>
          <w:caps w:val="false"/>
          <w:smallCaps w:val="false"/>
          <w:sz w:val="20"/>
        </w:rPr>
        <w:t xml:space="preserve"> Except as expressly modified by this Amendment, all terms, conditions, covenants, representations, and warranties set forth in the Original Agreement shall remain in full force and effect and are hereby ratified and confirmed in all respects. In the event of any conflict between the terms of this Amendment and the Original Agreement, the terms of this Amendment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Defined Terms.</w:t>
      </w:r>
      <w:r>
        <w:rPr>
          <w:rFonts w:ascii="Times New Roman;Times;Serif" w:hAnsi="Times New Roman;Times;Serif"/>
          <w:b w:val="false"/>
          <w:i w:val="false"/>
          <w:caps w:val="false"/>
          <w:smallCaps w:val="false"/>
          <w:sz w:val="20"/>
        </w:rPr>
        <w:t xml:space="preserve"> Capitalized terms used but not defined in this Amendment shall have the meanings ascribed to them in the Original Agreement.</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 xml:space="preserve">Page </w:t>
            </w:r>
            <w:r>
              <w:rPr>
                <w:b/>
              </w:rPr>
              <w:t>3</w:t>
            </w:r>
            <w:r>
              <w:rPr/>
              <w:t xml:space="preserve"> of </w:t>
            </w:r>
            <w:r>
              <w:rPr>
                <w:b/>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Entire Agreement.</w:t>
      </w:r>
      <w:r>
        <w:rPr>
          <w:rFonts w:ascii="Times New Roman;Times;Serif" w:hAnsi="Times New Roman;Times;Serif"/>
          <w:b w:val="false"/>
          <w:i w:val="false"/>
          <w:caps w:val="false"/>
          <w:smallCaps w:val="false"/>
          <w:sz w:val="20"/>
        </w:rPr>
        <w:t xml:space="preserve"> This Amendment, together with the Original Agreement (as amended hereby), constitutes the entire agreement of the Parties with respect to the subject matter hereof and supersedes all prior or contemporaneous oral or written agreements, understandings, or negotiations relating to the matters addressed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Governing Law. </w:t>
      </w:r>
      <w:r>
        <w:rPr>
          <w:rFonts w:ascii="Times New Roman;Times;Serif" w:hAnsi="Times New Roman;Times;Serif"/>
          <w:b w:val="false"/>
          <w:i w:val="false"/>
          <w:caps w:val="false"/>
          <w:smallCaps w:val="false"/>
          <w:sz w:val="20"/>
        </w:rPr>
        <w:t>This Amendment shall be governed by and construed in accordance with the laws of the State of Florida, without regard to its conflicts-of-law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Counterparts. </w:t>
      </w:r>
      <w:r>
        <w:rPr>
          <w:rFonts w:ascii="Times New Roman;Times;Serif" w:hAnsi="Times New Roman;Times;Serif"/>
          <w:b w:val="false"/>
          <w:i w:val="false"/>
          <w:caps w:val="false"/>
          <w:smallCaps w:val="false"/>
          <w:sz w:val="20"/>
        </w:rPr>
        <w:t>This Amendment may be executed in counterparts (including by electronic signature and PDF), each of which shall be deemed an original and all of which together shall constitute one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Acknowledgements</w:t>
      </w:r>
      <w:r>
        <w:rPr>
          <w:rFonts w:ascii="Times New Roman;Times;Serif" w:hAnsi="Times New Roman;Times;Serif"/>
          <w:b w:val="false"/>
          <w:i w:val="false"/>
          <w:caps w:val="false"/>
          <w:smallCaps w:val="false"/>
          <w:sz w:val="20"/>
        </w:rPr>
        <w:t>. Executive acknowledges that Executive has had the opportunity to consult with independent legal counsel at Executive’s expense, has read and understands this Amendment, and is entering into it knowingly and voluntarily. Executive further acknowledges that the waivers and releases set forth herein are made freely, voluntarily, and without coercion, duress, or undue influence.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First Amendment to Executive Employment Agreement as of the Amendment Effective Date.</w:t>
      </w:r>
    </w:p>
    <w:p>
      <w:pPr>
        <w:pStyle w:val="TextBody"/>
        <w:bidi w:val="0"/>
        <w:spacing w:before="0" w:after="0"/>
        <w:ind w:left="0" w:right="0" w:hanging="0"/>
        <w:jc w:val="both"/>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41"/>
        <w:gridCol w:w="2548"/>
        <w:gridCol w:w="75"/>
      </w:tblGrid>
      <w:tr>
        <w:trPr/>
        <w:tc>
          <w:tcPr>
            <w:tcW w:w="3289" w:type="dxa"/>
            <w:gridSpan w:val="2"/>
            <w:tcBorders/>
            <w:vAlign w:val="center"/>
          </w:tcPr>
          <w:p>
            <w:pPr>
              <w:pStyle w:val="TableContents"/>
              <w:bidi w:val="0"/>
              <w:spacing w:before="0" w:after="283"/>
              <w:jc w:val="left"/>
              <w:rPr>
                <w:b/>
              </w:rPr>
            </w:pPr>
            <w:r>
              <w:rPr>
                <w:b/>
              </w:rPr>
              <w:t>MOTORSPORT GAMES INC.</w:t>
            </w:r>
          </w:p>
        </w:tc>
        <w:tc>
          <w:tcPr>
            <w:tcW w:w="75" w:type="dxa"/>
            <w:tcBorders/>
            <w:vAlign w:val="center"/>
          </w:tcPr>
          <w:p>
            <w:pPr>
              <w:pStyle w:val="TableContents"/>
              <w:bidi w:val="0"/>
              <w:spacing w:before="0" w:after="283"/>
              <w:jc w:val="left"/>
              <w:rPr/>
            </w:pPr>
            <w:r>
              <w:rPr/>
              <w:t> </w:t>
            </w:r>
          </w:p>
        </w:tc>
      </w:tr>
      <w:tr>
        <w:trPr/>
        <w:tc>
          <w:tcPr>
            <w:tcW w:w="741" w:type="dxa"/>
            <w:tcBorders/>
            <w:vAlign w:val="center"/>
          </w:tcPr>
          <w:p>
            <w:pPr>
              <w:pStyle w:val="TableContents"/>
              <w:bidi w:val="0"/>
              <w:spacing w:before="0" w:after="283"/>
              <w:jc w:val="left"/>
              <w:rPr/>
            </w:pPr>
            <w:r>
              <w:rPr/>
              <w:t> </w:t>
            </w:r>
          </w:p>
        </w:tc>
        <w:tc>
          <w:tcPr>
            <w:tcW w:w="25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1" w:type="dxa"/>
            <w:tcBorders/>
            <w:vAlign w:val="center"/>
          </w:tcPr>
          <w:p>
            <w:pPr>
              <w:pStyle w:val="TableContents"/>
              <w:bidi w:val="0"/>
              <w:spacing w:before="0" w:after="283"/>
              <w:jc w:val="left"/>
              <w:rPr/>
            </w:pPr>
            <w:r>
              <w:rPr/>
              <w:t>By:</w:t>
            </w:r>
          </w:p>
        </w:tc>
        <w:tc>
          <w:tcPr>
            <w:tcW w:w="2548" w:type="dxa"/>
            <w:tcBorders>
              <w:bottom w:val="single" w:sz="8" w:space="0" w:color="000000"/>
            </w:tcBorders>
            <w:tcMar>
              <w:bottom w:w="28" w:type="dxa"/>
            </w:tcMar>
            <w:vAlign w:val="center"/>
          </w:tcPr>
          <w:p>
            <w:pPr>
              <w:pStyle w:val="TableContents"/>
              <w:bidi w:val="0"/>
              <w:spacing w:before="0" w:after="283"/>
              <w:jc w:val="left"/>
              <w:rPr>
                <w:i/>
              </w:rPr>
            </w:pPr>
            <w:r>
              <w:rPr>
                <w:i/>
              </w:rPr>
              <w:t>/s/ Stephen Hood</w:t>
            </w:r>
          </w:p>
        </w:tc>
        <w:tc>
          <w:tcPr>
            <w:tcW w:w="75" w:type="dxa"/>
            <w:tcBorders/>
            <w:vAlign w:val="center"/>
          </w:tcPr>
          <w:p>
            <w:pPr>
              <w:pStyle w:val="TableContents"/>
              <w:bidi w:val="0"/>
              <w:spacing w:before="0" w:after="283"/>
              <w:jc w:val="left"/>
              <w:rPr/>
            </w:pPr>
            <w:r>
              <w:rPr/>
              <w:t> </w:t>
            </w:r>
          </w:p>
        </w:tc>
      </w:tr>
      <w:tr>
        <w:trPr/>
        <w:tc>
          <w:tcPr>
            <w:tcW w:w="741" w:type="dxa"/>
            <w:tcBorders/>
            <w:vAlign w:val="center"/>
          </w:tcPr>
          <w:p>
            <w:pPr>
              <w:pStyle w:val="TableContents"/>
              <w:bidi w:val="0"/>
              <w:spacing w:before="0" w:after="283"/>
              <w:jc w:val="left"/>
              <w:rPr/>
            </w:pPr>
            <w:r>
              <w:rPr/>
              <w:t>Name:</w:t>
            </w:r>
          </w:p>
        </w:tc>
        <w:tc>
          <w:tcPr>
            <w:tcW w:w="2548" w:type="dxa"/>
            <w:tcBorders/>
            <w:vAlign w:val="center"/>
          </w:tcPr>
          <w:p>
            <w:pPr>
              <w:pStyle w:val="TableContents"/>
              <w:bidi w:val="0"/>
              <w:spacing w:before="0" w:after="283"/>
              <w:jc w:val="left"/>
              <w:rPr/>
            </w:pPr>
            <w:r>
              <w:rPr/>
              <w:t>Stephen Hood</w:t>
            </w:r>
          </w:p>
        </w:tc>
        <w:tc>
          <w:tcPr>
            <w:tcW w:w="75" w:type="dxa"/>
            <w:tcBorders/>
            <w:vAlign w:val="center"/>
          </w:tcPr>
          <w:p>
            <w:pPr>
              <w:pStyle w:val="TableContents"/>
              <w:bidi w:val="0"/>
              <w:spacing w:before="0" w:after="283"/>
              <w:jc w:val="left"/>
              <w:rPr/>
            </w:pPr>
            <w:r>
              <w:rPr/>
              <w:t> </w:t>
            </w:r>
          </w:p>
        </w:tc>
      </w:tr>
      <w:tr>
        <w:trPr/>
        <w:tc>
          <w:tcPr>
            <w:tcW w:w="741" w:type="dxa"/>
            <w:tcBorders/>
            <w:vAlign w:val="center"/>
          </w:tcPr>
          <w:p>
            <w:pPr>
              <w:pStyle w:val="TableContents"/>
              <w:bidi w:val="0"/>
              <w:spacing w:before="0" w:after="283"/>
              <w:jc w:val="left"/>
              <w:rPr/>
            </w:pPr>
            <w:r>
              <w:rPr/>
              <w:t xml:space="preserve">Title: </w:t>
            </w:r>
          </w:p>
        </w:tc>
        <w:tc>
          <w:tcPr>
            <w:tcW w:w="2548"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741" w:type="dxa"/>
            <w:tcBorders/>
            <w:vAlign w:val="center"/>
          </w:tcPr>
          <w:p>
            <w:pPr>
              <w:pStyle w:val="TableContents"/>
              <w:bidi w:val="0"/>
              <w:spacing w:before="0" w:after="283"/>
              <w:jc w:val="left"/>
              <w:rPr/>
            </w:pPr>
            <w:r>
              <w:rPr/>
              <w:t>Date:</w:t>
            </w:r>
          </w:p>
        </w:tc>
        <w:tc>
          <w:tcPr>
            <w:tcW w:w="2548" w:type="dxa"/>
            <w:tcBorders>
              <w:bottom w:val="single" w:sz="8" w:space="0" w:color="000000"/>
            </w:tcBorders>
            <w:tcMar>
              <w:bottom w:w="28" w:type="dxa"/>
            </w:tcMar>
            <w:vAlign w:val="center"/>
          </w:tcPr>
          <w:p>
            <w:pPr>
              <w:pStyle w:val="TableContents"/>
              <w:bidi w:val="0"/>
              <w:spacing w:before="0" w:after="283"/>
              <w:jc w:val="left"/>
              <w:rPr/>
            </w:pPr>
            <w:r>
              <w:rPr/>
              <w:t>June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1520"/>
      </w:tblGrid>
      <w:tr>
        <w:trPr/>
        <w:tc>
          <w:tcPr>
            <w:tcW w:w="1520" w:type="dxa"/>
            <w:tcBorders/>
            <w:vAlign w:val="center"/>
          </w:tcPr>
          <w:p>
            <w:pPr>
              <w:pStyle w:val="TableContents"/>
              <w:bidi w:val="0"/>
              <w:spacing w:before="0" w:after="283"/>
              <w:jc w:val="left"/>
              <w:rPr>
                <w:b/>
              </w:rPr>
            </w:pPr>
            <w:r>
              <w:rPr>
                <w:b/>
              </w:rPr>
              <w:t>EXECUTIVE</w:t>
            </w:r>
          </w:p>
        </w:tc>
      </w:tr>
    </w:tbl>
    <w:p>
      <w:pPr>
        <w:pStyle w:val="TextBody"/>
        <w:bidi w:val="0"/>
        <w:spacing w:before="0" w:after="283"/>
        <w:jc w:val="left"/>
        <w:rPr/>
      </w:pPr>
      <w:r>
        <w:rPr/>
        <w:t> </w:t>
      </w:r>
    </w:p>
    <w:tbl>
      <w:tblPr>
        <w:tblW w:w="1975" w:type="dxa"/>
        <w:jc w:val="left"/>
        <w:tblInd w:w="0" w:type="dxa"/>
        <w:tblLayout w:type="fixed"/>
        <w:tblCellMar>
          <w:top w:w="0" w:type="dxa"/>
          <w:left w:w="0" w:type="dxa"/>
          <w:bottom w:w="28" w:type="dxa"/>
          <w:right w:w="0" w:type="dxa"/>
        </w:tblCellMar>
      </w:tblPr>
      <w:tblGrid>
        <w:gridCol w:w="545"/>
        <w:gridCol w:w="1355"/>
        <w:gridCol w:w="75"/>
      </w:tblGrid>
      <w:tr>
        <w:trPr/>
        <w:tc>
          <w:tcPr>
            <w:tcW w:w="1900" w:type="dxa"/>
            <w:gridSpan w:val="2"/>
            <w:tcBorders>
              <w:bottom w:val="single" w:sz="8" w:space="0" w:color="000000"/>
            </w:tcBorders>
            <w:vAlign w:val="center"/>
          </w:tcPr>
          <w:p>
            <w:pPr>
              <w:pStyle w:val="TableContents"/>
              <w:bidi w:val="0"/>
              <w:spacing w:before="0" w:after="283"/>
              <w:jc w:val="left"/>
              <w:rPr>
                <w:i/>
              </w:rPr>
            </w:pPr>
            <w:r>
              <w:rPr>
                <w:i/>
              </w:rPr>
              <w:t>/s/ Stanley Beckley</w:t>
            </w:r>
          </w:p>
        </w:tc>
        <w:tc>
          <w:tcPr>
            <w:tcW w:w="75" w:type="dxa"/>
            <w:tcBorders/>
            <w:tcMar>
              <w:bottom w:w="0" w:type="dxa"/>
            </w:tcMar>
            <w:vAlign w:val="center"/>
          </w:tcPr>
          <w:p>
            <w:pPr>
              <w:pStyle w:val="TableContents"/>
              <w:bidi w:val="0"/>
              <w:spacing w:before="0" w:after="283"/>
              <w:jc w:val="left"/>
              <w:rPr/>
            </w:pPr>
            <w:r>
              <w:rPr/>
              <w:t> </w:t>
            </w:r>
          </w:p>
        </w:tc>
      </w:tr>
      <w:tr>
        <w:trPr/>
        <w:tc>
          <w:tcPr>
            <w:tcW w:w="1900" w:type="dxa"/>
            <w:gridSpan w:val="2"/>
            <w:tcBorders/>
            <w:tcMar>
              <w:bottom w:w="0" w:type="dxa"/>
            </w:tcMar>
            <w:vAlign w:val="center"/>
          </w:tcPr>
          <w:p>
            <w:pPr>
              <w:pStyle w:val="TableContents"/>
              <w:bidi w:val="0"/>
              <w:spacing w:before="0" w:after="283"/>
              <w:jc w:val="left"/>
              <w:rPr/>
            </w:pPr>
            <w:r>
              <w:rPr/>
              <w:t>Stanley Beckley</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left"/>
              <w:rPr/>
            </w:pPr>
            <w:r>
              <w:rPr/>
              <w:t>Date:</w:t>
            </w:r>
          </w:p>
        </w:tc>
        <w:tc>
          <w:tcPr>
            <w:tcW w:w="1355" w:type="dxa"/>
            <w:tcBorders>
              <w:bottom w:val="single" w:sz="8" w:space="0" w:color="000000"/>
            </w:tcBorders>
            <w:vAlign w:val="center"/>
          </w:tcPr>
          <w:p>
            <w:pPr>
              <w:pStyle w:val="TableContents"/>
              <w:bidi w:val="0"/>
              <w:spacing w:before="0" w:after="283"/>
              <w:jc w:val="left"/>
              <w:rPr/>
            </w:pPr>
            <w:r>
              <w:rPr/>
              <w:t>June 18,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 xml:space="preserve">Page </w:t>
            </w:r>
            <w:r>
              <w:rPr>
                <w:b/>
              </w:rPr>
              <w:t>4</w:t>
            </w:r>
            <w:r>
              <w:rPr/>
              <w:t xml:space="preserve"> of </w:t>
            </w:r>
            <w:r>
              <w:rPr>
                <w:b/>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br/>
        <w:t>Duties and Responsibilities of Chief Accounting and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shall have the following duties and responsibilities as Chief Accounting and Compliance Officer and Principal Accounting Officer of the Company, which duties and responsibilities are not intended to be exhaustive and may be modified, supplemented, or amended from time to time:</w:t>
      </w:r>
    </w:p>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85"/>
        <w:gridCol w:w="30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0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Reporting &amp; Compliance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the precise preparation, review, and timely submission of quarterly Form 10-Q and annual Form 10-K filings and oversee all financial filings and disclosures in accordance with applicable SEC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evolving SEC, GAAP, and IFRS rules to seamlessly integrate new accounting updates company-wide, ensuring adherence to all applicable regulatory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as the primary corporate liaison to facilitate external audits and resolve complex technical accounting positions, coordinating with external legal counsel on SEC filings and disclosure matters.</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185"/>
        <w:gridCol w:w="39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Management &amp; Internal Controls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the global accounting team through efficient, structured month-end and year-end ledger close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Formulate, implement, and stress-test rigorous Sarbanes-Oxley control frameworks to prevent fraud and minimize operational risk, serving as the primary owner of the Company’s internal controls over financial reporting.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internal systems management and introduce automation into accounts payable, receivable, and payroll infrastructure.</w:t>
            </w:r>
          </w:p>
        </w:tc>
      </w:tr>
    </w:tbl>
    <w:p>
      <w:pPr>
        <w:pStyle w:val="TextBody"/>
        <w:bidi w:val="0"/>
        <w:spacing w:before="0" w:after="283"/>
        <w:jc w:val="left"/>
        <w:rPr/>
      </w:pPr>
      <w:r>
        <w:rPr/>
        <w:t> </w:t>
      </w:r>
    </w:p>
    <w:tbl>
      <w:tblPr>
        <w:tblW w:w="4465" w:type="dxa"/>
        <w:jc w:val="left"/>
        <w:tblInd w:w="0" w:type="dxa"/>
        <w:tblLayout w:type="fixed"/>
        <w:tblCellMar>
          <w:top w:w="0" w:type="dxa"/>
          <w:left w:w="0" w:type="dxa"/>
          <w:bottom w:w="0" w:type="dxa"/>
          <w:right w:w="0" w:type="dxa"/>
        </w:tblCellMar>
      </w:tblPr>
      <w:tblGrid>
        <w:gridCol w:w="185"/>
        <w:gridCol w:w="4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Compliance &amp; Corporate Governance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Company’s compliance with applicable securities laws and regulations, including Exchange Act reporting obligations, Regulation FD, and insider trading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administer the Company’s corporate governance policies and compliance programs, including codes of conduct, whistleblower policies, and related-party transaction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timely and accurate preparation and filing of all required NASDAQ listing standard certifications and compliance notifications.</w:t>
            </w:r>
          </w:p>
        </w:tc>
      </w:tr>
    </w:tbl>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 xml:space="preserve">Page </w:t>
            </w:r>
            <w:r>
              <w:rPr>
                <w:b/>
              </w:rPr>
              <w:t>5</w:t>
            </w:r>
            <w:r>
              <w:rPr/>
              <w:t xml:space="preserve"> of </w:t>
            </w:r>
            <w:r>
              <w:rPr>
                <w:b/>
              </w:rPr>
              <w:t>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9" w:name="ex99-1.htm"/>
      <w:bookmarkStart w:id="30" w:name="ksex99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NAMES PETER HANSEN-CHAMBERS CHIEF FINANCIAL OFFICER, EFFECTIVE JULY 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Stanley Beckley to Transition to Chief Accounting and Compliance Officer as Company Builds Commercial Capacity for New Products and Revenue Lines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MIRAMAR, FL, June 18, 2026</w:t>
      </w:r>
      <w:r>
        <w:rPr>
          <w:rFonts w:ascii="Times New Roman;Times;Serif" w:hAnsi="Times New Roman;Times;Serif"/>
          <w:b w:val="false"/>
          <w:i w:val="false"/>
          <w:caps w:val="false"/>
          <w:smallCaps w:val="false"/>
          <w:sz w:val="20"/>
        </w:rPr>
        <w:t xml:space="preserve"> — Motorsport Games Inc. (NASDAQ: MSGM) (“Motorsport Games” or the “Company”), a racing game developer and publisher is announcing that Peter Hansen-Chambers will join the Company as Chief Financial Officer, effective July 1, 2026. Stanley Beckley, the Company’s current CFO, will transition into a newly created role as Chief Accounting and Compliance Officer, effective the same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leadership evolution reflects Motorsport Games’ next phase of growth, as the Company works to expand its product portfolio and diversify revenue lines beyond its existing titles. The Board believes this requires additional senior commercial and strategic capability working alongside the CEO, while ensuring continued rigor and focus on accounting and compliance as the business scales.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Peter joins the company with a valuable breadth of experience, bringing us the commercial and strategic depth we need as we build out new products and revenue opportunities,” said Stephen Hood, Chief Executive Officer of Motorsport Games. “His track record of scaling a games business, building strategically valuable partnerships, negotiating deals, and managing its finances alongside operations through growth periods speaks for itself, and I’m looking forward to working alongside him to deliver on our vision for the Company’s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also want to thank Stanley for his contributions as CFO and am pleased that his expertise will continue to benefit the Company in his new role, where he will maintain our focus on strong financial governance and compliance, the demands of which have increased over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Hansen-Chambers has served as Executive Advisor to Motorsport Games since January 2026, providing commercial strategy and consultancy services. He brings almost 20 years of experience in the video games industry spanning commercial strategy, licensing, legal, finance, business development, and M&amp;A across console, PC, and mobile platforms. From October 2014 to October 2025, he worked at mobile games developer Hutch Games Ltd, most recently as Co-CEO and Chief Financial Officer, initially joining the company as a loss-making startup of approximately 20 people and helping transform it into a profitable and well-respected games business with partners including Formula 1, evo, Mattel, and Turn 10, growing to over 170 employees across multiple sites. In 2020, he oversaw the sale of Hutch to Modern Times Group MTG AB for a price in excess of $275 million, and continued in his leadership role as Hutch became part of MTG. Prior to Hutch, Mr. Hansen-Chambers held roles at Dovetail Games, Sony Computer Entertainment Europe, Bugatti, NaturalMotion, and Codemasters.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Motorsport Games: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Version 1.3.3 featuring new cars, updated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w:t>
      </w:r>
      <w:r>
        <w:rPr>
          <w:rFonts w:ascii="Times New Roman;Times;Serif" w:hAnsi="Times New Roman;Times;Serif"/>
          <w:b w:val="false"/>
          <w:i/>
          <w:caps w:val="false"/>
          <w:smallCaps w:val="false"/>
          <w:sz w:val="20"/>
        </w:rPr>
        <w:t>Le Mans Virtual Series</w:t>
      </w:r>
      <w:r>
        <w:rPr>
          <w:rFonts w:ascii="Times New Roman;Times;Serif" w:hAnsi="Times New Roman;Times;Serif"/>
          <w:b w:val="false"/>
          <w:i w:val="false"/>
          <w:caps w:val="false"/>
          <w:smallCaps w:val="false"/>
          <w:sz w:val="20"/>
        </w:rPr>
        <w:t>. Motorsport Games is building a virtual racing ecosystem where each product drives excitement, every esports event is an adventure, and every race inspires.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Motorsport Games visit: </w:t>
      </w:r>
      <w:r>
        <w:rPr>
          <w:rFonts w:ascii="Times New Roman;Times;Serif" w:hAnsi="Times New Roman;Times;Serif"/>
          <w:b w:val="false"/>
          <w:i w:val="false"/>
          <w:caps w:val="false"/>
          <w:smallCaps w:val="false"/>
          <w:sz w:val="20"/>
          <w:u w:val="single"/>
        </w:rPr>
        <w:t>www.motorsportgames.com.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or information in this press release, the related conference call and webcast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statements concerning the Company’s next phase of growth, the expansion of the Company’s product portfolio and diversification of revenue lines beyond its existing titles, the need for additional senior commercial and strategic capability among the Company’s executives, continued rigor and focus on accounting and compliance, building out new products and revenue opportunities, efforts to deliver on the Company’s vision for the future, and the demands of financial governance and compliance increasing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the ability to derive the anticipated contributions from Peter Hansen-Chambers and Stanley Beckley in their roles and the ability of the Company to expand its product portfolio and diversify revenue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other than those referred to above could also cause the Company’s results to differ materially from expected results. Additional examples of such risks and uncertainties include, but are not limited to: (i) the Company’s ability (or inability) to maintain existing, and to secure additional, licenses and other agreements with various racing series; (ii) the Company’s ability to successfully manage and integrate any joint ventures, acquisitions of businesses, solutions or technologies; (iii) unanticipated operating costs, transaction costs and actual or contingent liabilities; (iv) the ability to attract and retain qualified employees and key personnel; (v) adverse effects of increased competition; (vi) changes in consumer behavior, including as a result of general economic factors, such as increased inflation, higher energy prices and higher interest rates; (vii) the Company’s inability to protect its intellectual property; and/or (vii) local, industry and general business and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to differ materially from those expressed or implied in the forward-looking statements can be found in the Company’s filings with the SEC, including its Annual Report on Form 10-K for the fiscal year ended December 31, 2025, subsequent Quarterly Reports on Form 10-Q and current reports on Form 8-K filed with the SEC.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 and Social Media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we announce material financial information to our investors using our investor relations website (</w:t>
      </w:r>
      <w:r>
        <w:rPr>
          <w:rFonts w:ascii="Times New Roman;Times;Serif" w:hAnsi="Times New Roman;Times;Serif"/>
          <w:b w:val="false"/>
          <w:i w:val="false"/>
          <w:caps w:val="false"/>
          <w:smallCaps w:val="false"/>
          <w:sz w:val="20"/>
          <w:u w:val="single"/>
        </w:rPr>
        <w:t>ir.motorsportgames.com</w:t>
      </w:r>
      <w:r>
        <w:rPr>
          <w:rFonts w:ascii="Times New Roman;Times;Serif" w:hAnsi="Times New Roman;Times;Serif"/>
          <w:b w:val="false"/>
          <w:i w:val="false"/>
          <w:caps w:val="false"/>
          <w:smallCaps w:val="false"/>
          <w:sz w:val="20"/>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1820"/>
        <w:gridCol w:w="60"/>
        <w:gridCol w:w="2450"/>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Social Media </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motorsportgames.com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Twitter: </w:t>
            </w:r>
            <w:r>
              <w:rPr>
                <w:rFonts w:ascii="Times New Roman;Times;Serif" w:hAnsi="Times New Roman;Times;Serif"/>
                <w:b w:val="false"/>
                <w:i/>
                <w:caps w:val="false"/>
                <w:smallCaps w:val="false"/>
                <w:sz w:val="20"/>
                <w:u w:val="single"/>
              </w:rPr>
              <w:t>@msportgames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Instagram: </w:t>
            </w:r>
            <w:r>
              <w:rPr>
                <w:rFonts w:ascii="Times New Roman;Times;Serif" w:hAnsi="Times New Roman;Times;Serif"/>
                <w:b w:val="false"/>
                <w:i/>
                <w:caps w:val="false"/>
                <w:smallCaps w:val="false"/>
                <w:sz w:val="20"/>
                <w:u w:val="single"/>
              </w:rPr>
              <w:t>msportgames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Facebook: </w:t>
            </w:r>
            <w:r>
              <w:rPr>
                <w:rFonts w:ascii="Times New Roman;Times;Serif" w:hAnsi="Times New Roman;Times;Serif"/>
                <w:b w:val="false"/>
                <w:i/>
                <w:caps w:val="false"/>
                <w:smallCaps w:val="false"/>
                <w:sz w:val="20"/>
                <w:u w:val="single"/>
              </w:rPr>
              <w:t>Motorsport 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LinkedIn: </w:t>
            </w:r>
            <w:r>
              <w:rPr>
                <w:rFonts w:ascii="Times New Roman;Times;Serif" w:hAnsi="Times New Roman;Times;Serif"/>
                <w:b w:val="false"/>
                <w:i/>
                <w:caps w:val="false"/>
                <w:smallCaps w:val="false"/>
                <w:sz w:val="20"/>
                <w:u w:val="single"/>
              </w:rPr>
              <w:t>Motorsport Games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these websites and social media channels are not part of, nor will they be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Investors@motorsportgames.com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PR@motorsportgames.com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12366</Words>
  <Characters>65769</Characters>
  <CharactersWithSpaces>78200</CharactersWithSpaces>
  <Paragraphs>1112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