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29, 2023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001-39868</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86-1791356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5972 NE 4th Avenue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33137</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9"/>
        </w:trPr>
        <w:tc>
          <w:tcPr>
            <w:tcW w:w="4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par value per share</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MSGM</w:t>
            </w:r>
          </w:p>
        </w:tc>
        <w:tc>
          <w:tcPr>
            <w:tcW w:w="220" w:type="dxa"/>
            <w:vAlign w:val="bottom"/>
          </w:tcPr>
          <w:p>
            <w:pPr>
              <w:spacing w:after="0"/>
              <w:rPr>
                <w:sz w:val="17"/>
                <w:szCs w:val="17"/>
                <w:color w:val="auto"/>
              </w:rPr>
            </w:pPr>
          </w:p>
        </w:tc>
        <w:tc>
          <w:tcPr>
            <w:tcW w:w="4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light of Motorsport Games Inc. (the “Company”) continuing evaluation of its operations, on October 29, 2023, the Company determined to implement additional measures to continue to bring down its year-over-year operating expense through a reduction of the Company’s workforce primarily in Australia and the United Kingdom by approximately 38 employees. The workforce reduction is expected to impact approximately 40% of the Company’s employees worldwide. The Company expects to record a restructuring charge related to the workforce reduction, primarily consisting of severance and redundancy costs, in a preliminary estimated range of $0.4 to $0.5 million. The Company expects to recognize and pay out the majority of the restructuring charge in the fourth quarter of fiscal year 2023. The Company further anticipates the implementation of the workforce reduction, including cash payments, will be substantially complete by the end of the fourth quarter of fiscal year 2023. The workforce reduction is subject to legal requirements in Australia and the United Kingdom, which may extend this process beyond the fourth quarter of fiscal year 2023 in certain cases. The charges that the Company expects to incur are subject to a number of assumptions, including legal requirements in primarily the Australia and the United Kingdom jurisdictions, and the actual restructuring charge may differ materially from the estimated range disclosed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Current Report on Form 8-K contains forward-looking statements within the “safe harbor” provisions of the Private Securities Litigation Reform Act of 1995. All statements other than those that are purely historical are forward-looking statements. Words such as “expect,” “anticipate,” “believe,” “estimate,” “intend,” “plan,” “project,” and similar expressions also identify forward looking statements. Forward-looking statements include statements regarding estimated costs related to the reduction of the Company’s workforce in Australia, expected savings resulting from such reduction and other actions, the expected timing of actions, costs and savings related to the reduction of the Company’s workforce in Australia and other actions, and the fact that the Company will incur substantially all of the costs related to such reduction in future cash expenditures. These forward-looking statements involve risks and uncertainties, and there are important factors that could cause the estimated future impact of such costs and savings and the expected timing of such actions to differ materially from the forward-looking statements, including without limitation, the risk that such costs may be greater than expected and such savings may be lower than expected; that the reduction of the Company’s workforce in Australia may adversely affect the Company’s ability to attract and retain qualified personnel and that such reduction may be distracting to employees and management; that such reduction may negatively impact the Company’s business operations and reputation; and that such reduction may not generate the intended benefits to the extent or on the timeline as expected. Additional information regarding risks and uncertainties associated with the Company’s business and a discussion of some of the factors that may cause actual results to differ materially from the results expressed or implied by such forward-looking statements can be found in the Company’s SEC filings, including the “Risk Factors” and “Management’s Discussion and Analysis of Financial Condition and Results of Operations” sections of the Company’s Annual Report on Form 10-K for the fiscal year ended December 31, 2022 and the Quarterly Report on Form 10-Q for the quarter ended June 30, 2023. These forward-looking statements are based on information as of the date hereof, and the Company assumes No obligation to publicly update or revise its forward-looking statements even if experience or future changes make it clear that any projected results expressed or implied therein will not be realized.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Hood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2023-11-02T14:34:11Z</dcterms:created>
  <dcterms:modified xsi:type="dcterms:W3CDTF">2023-11-02T14:34:11Z</dcterms:modified>
</cp:coreProperties>
</file>