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HOOD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MOTORSPORT GAMES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5972 NE 4TH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Motorsport Games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MSGM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01/12/2031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options awarded to the reporting person under the Motorsport Games Inc. 2021 Equity Incentive Plan, which vests in three equal annual installments beginning on January 12, 2022.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Effective April 19, 2023 (the "Effective Date"), the reporting person was appointed as Motorsport Games Inc.'s Chief Executive Officer and President. Due to an administrative oversight, this Form 3 for the reporting person should have been filed within 10 days after the Effective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6897" TargetMode="External"/><Relationship Id="rId3" Type="http://schemas.openxmlformats.org/officeDocument/2006/relationships/hyperlink" Target="http://www.sec.gov/cgi-bin/browse-edgar?action=getcompany&amp;CIK=00018211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475</Words>
  <Characters>2603</Characters>
  <CharactersWithSpaces>3030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