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Delta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3350 SW 148TH AVENUE, SUITE 207</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62,458</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74,458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Each RSU vests on the earlier of January 1, 2027, or the occurrence of a Change of Control (as defined in the Amended and Restated 2021 Equity Incentive Plan), subject to the director's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Delta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ex24-1.htm"/>
      <w:bookmarkStart w:id="3" w:name="ksex2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POWER OF ATTORNEY FOR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each of Stanley Beckley and/or Stephen Hood of Motorsport Games Inc. (the “Company”), signing individually,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on behalf of the undersigned, and submit to the U.S. Securities and Exchange Commission (the “SEC”) any documents necessary or advisable to obtain EDGAR access codes or make any updates to the undersigned’s EDGAR access codes once obtained, enabling the undersigned to make electronic filings of reports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3, 2026.</w:t>
      </w:r>
    </w:p>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75"/>
        <w:gridCol w:w="1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Delta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Delta</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769"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1160</Words>
  <Characters>6108</Characters>
  <CharactersWithSpaces>7209</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