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 Oak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SE 5TH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2"/>
        <w:gridCol w:w="772"/>
        <w:gridCol w:w="599"/>
        <w:gridCol w:w="347"/>
        <w:gridCol w:w="926"/>
        <w:gridCol w:w="450"/>
        <w:gridCol w:w="795"/>
        <w:gridCol w:w="1156"/>
        <w:gridCol w:w="992"/>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17,949</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3.862</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333,410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5,194</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3.862</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178,427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3.669</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336,820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3.669</w:t>
            </w:r>
            <w:r>
              <w:rPr>
                <w:rFonts w:ascii="Times;serif" w:hAnsi="Times;serif"/>
                <w:color w:val="008000"/>
                <w:position w:val="7"/>
                <w:sz w:val="16"/>
                <w:sz w:val="20"/>
                <w:shd w:fill="FFFFFF" w:val="clear"/>
              </w:rPr>
              <w:t>(5)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180,229</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Red Oak Partners, LLC ("ROP") serves as the general partner of The Red Oak Fund, LP, a Delaware limited partnership (the "Fund"), the direct owner of the subject securities. David Sandberg is the managing member of ROP and the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ROP serves as the general partner of The Red Oak Long Fund, LP, a Delaware limited partnership (the "Long Fund"), the direct owner of the subject securities. David Sandberg is the managing member of ROP and the Long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transactions were executed in multiple trades at prices ranging from $3.80 to $3.90.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transactions were executed in multiple trades at prices ranging from $3.60 to $3.875.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Sandberg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533"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4776</Characters>
  <CharactersWithSpaces>5590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