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333-281661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156845</wp:posOffset>
            </wp:positionV>
            <wp:extent cx="285432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949,310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07"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949,310 shares of Class A common stock, par value $0.0001 per share (the “Class A common stock”), of Motorsport Games Inc. by the Selling Stockholders identified in this prospectus (the “Selling Stockholders”), including their pledgees, assignees, donees, transferees or their respective successors-in-interest consisting of: (i) Series A warrants (the “Series A Warrants”) to purchase up to 460,830 shares of Class A common stock, (ii) Series B warrants (the “Series B Warrants,” and collectively with the Series A Warrants, the “Purchase Warrants”) to purchase up to 460,830 shares of Class A common stock that were purchased by two of the Selling Stockholders (the “Investor Selling Stockholders”) identified in this prospectus in a private placement transaction that closed on July 29, 2024 (the “Private Placement”); and (iii) placement agent warrants (the “Placement Agent Warrants” and collectively with the Purchase Warrants, the “Warrants”) to purchase up to 27,650 shares of Class A common stock (the “Placement Agent Warrants”) that were issued to designees of H.C. Wainwright &amp; Co., LLC (“Wainwright” or the “Placement Agent”) as partial compensation for Wainwright acting as placement agent in connection with the Private Placement. The shares of Class A common stock issuable upon exercise of the Series A Warrants, the Series B Warrants and the Placement Agent Warrants are referred to as the “Warrant Shares.”</w:t>
      </w:r>
    </w:p>
    <w:p>
      <w:pPr>
        <w:spacing w:after="0" w:line="19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offering any shares of Class A common stock under this prospectus and will not receive any proceeds from the sale or other disposition of the shares of our Class A common stock covered hereby. See “Use of Proceeds” beginning on page 8 of this prospectus.</w:t>
      </w:r>
    </w:p>
    <w:p>
      <w:pPr>
        <w:spacing w:after="0" w:line="16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filing the registration statement on Form S-1, of which this prospectus forms a part, to fulfill certain contractual obligations with the Selling Stockholders to provide for the resale by the Selling Stockholders of the shares of Class A common stock offered hereby. See “Selling Stockholders” beginning on page 16 of this prospectus for more information about the Selling Stockholders. The registration of the shares of Class A common stock to which this prospectus relates does not require the Selling Stockholders to sell any of their shares of our Class A common stock.</w:t>
      </w:r>
    </w:p>
    <w:p>
      <w:pPr>
        <w:spacing w:after="0" w:line="180"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identified in this prospectus, or its or their pledgees, assignees, donees, transferees or their respective successors-in-interest, from time to time may offer and sell through public or private transactions at prevailing market prices, at prices related to prevailing market prices or at privately negotiated prices the shares held by them directly or through underwriters, agents or broker-dealers on terms to be determined at the time of sale, as described in more detail in this prospectus. See “Plan of Distribution” beginning on page 18 of this prospectus for more information about how the Selling Stockholders may sell their respective shares of Class A common stock. The Selling Stockholders may be deemed “underwriters” within the meaning of Section 2(a)(11) of the Securities Act of 1933, as amended (the “Securities Act”).</w:t>
      </w:r>
    </w:p>
    <w:p>
      <w:pPr>
        <w:spacing w:after="0" w:line="18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Private Placement, we agreed, pursuant to a securities purchase agreement, dated July 26, 2024, that we have entered into with the Investor Selling Stockholders, to bear all of the expenses in connection with the registration of their Warrant Shares pursuant to this prospectus. The Selling Stockholders will pay or assume all commissions, discounts, fees of underwriters, agents, selling brokers or dealer managers and similar expenses, if any, attributable to their respective sales of the shares of Class A common stock.</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applicable Securities and Exchange Commission rules and, as such, have elected to comply with certain reduced public company disclosure requirements for this prospectus and future filings. See “Prospectus Summary— Implications of Being an Emerging Growth Company and a Smaller Reporting Company.”</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“MSGM.” On August 16, 2024, the closing price of our Class A common stock on the Nasdaq Capital Market was $1.27 per share.</w:t>
      </w:r>
    </w:p>
    <w:p>
      <w:pPr>
        <w:spacing w:after="0" w:line="158"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Class A common stock involves risks. You should review carefully the risks and uncertainties described under the heading “</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w:t>
      </w:r>
      <w:r>
        <w:rPr>
          <w:rFonts w:ascii="Times New Roman" w:cs="Times New Roman" w:eastAsia="Times New Roman" w:hAnsi="Times New Roman"/>
          <w:sz w:val="18"/>
          <w:szCs w:val="18"/>
          <w:b w:val="1"/>
          <w:bCs w:val="1"/>
          <w:color w:val="auto"/>
        </w:rPr>
        <w:t>” contained in this prospectus and under similar headings in the other documents that are incorporated by reference into this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as described beginning on page 6 of this prospectus.</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 The securities are not being offered in any jurisdiction where the offer is not permitted.</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180" w:type="dxa"/>
            <w:vAlign w:val="bottom"/>
            <w:gridSpan w:val="3"/>
          </w:tcPr>
          <w:p>
            <w:pPr>
              <w:jc w:val="center"/>
              <w:ind w:right="36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45"/>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2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10600" w:type="dxa"/>
            <w:vAlign w:val="bottom"/>
            <w:gridSpan w:val="17"/>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INDUSTRY AND MARKET DATA</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DETERMINATION OF THE OFFERING PRICE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PRIVATE PLACEMENT</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432"/>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260" w:type="dxa"/>
            <w:vAlign w:val="bottom"/>
            <w:tcBorders>
              <w:top w:val="single" w:sz="8" w:color="CCEEFF"/>
              <w:bottom w:val="single" w:sz="8" w:color="auto"/>
            </w:tcBorders>
          </w:tcPr>
          <w:p>
            <w:pPr>
              <w:jc w:val="center"/>
              <w:ind w:right="4590"/>
              <w:spacing w:after="0"/>
              <w:rPr>
                <w:sz w:val="20"/>
                <w:szCs w:val="20"/>
                <w:color w:val="auto"/>
              </w:rPr>
            </w:pPr>
            <w:r>
              <w:rPr>
                <w:rFonts w:ascii="Times New Roman" w:cs="Times New Roman" w:eastAsia="Times New Roman" w:hAnsi="Times New Roman"/>
                <w:sz w:val="18"/>
                <w:szCs w:val="18"/>
                <w:color w:val="auto"/>
              </w:rPr>
              <w:t>i.</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into this prospectus and any related free writing prospectus. We have not authorized anyone to provide you with information different from that contained in this prospectus, any applicable prospectus supplement or any related free writing prospectus. No dealer, salesperson or other person is authorized to give any information or to represent anything not contained in this prospectus, any applicable prospectus supplement or any related free writing prospectus. You must not rely on any unauthorized information or representation. This prospectus is an offer to sell only the shares of Class A common stock offered hereby, but only under circumstances and in jurisdictions where it is lawful to do so. You should assume that the information in this prospectus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or any sale of a security.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believe that the data obtained from these industry publications and third-party research, surveys and studies are reliable. We are ultimately responsible for all disclosure included in this prospectus.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are offering the shares of Class A common stock only in jurisdictions where such issuances are permitted. The distribution of this prospectus and the issuance of the shares of Class A common stock in certain jurisdictions may be restricted by law. Persons outside the United States who come into possession of this prospectus must inform themselves about, and observe any restrictions relating to, the issuance of the shares and the distribution of this prospectus outside the United States. This prospectus does not constitute, and may not be used in connection with, an offer to sell, or a solicitation of an offer to buy, the shares of Class A common stock offered by this prospectus by any person in any jurisdiction in which it is unlawful for such person to make such an offer or solicitation.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(the “SEC”), under which the Selling Stockholders may offer from time-to-time securities described herein in one or more offerings. If required, each time a Selling Stockholder offers shares, we will provide you with, in addition to this prospectus,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or in documents we have incorporated by reference. This prospectus, together with any related free writing prospectuses and the documents incorporated by reference into this prospectus, includes all material information relating to this offering. To the extent that any statement that we make in a prospectus supplement is inconsistent with statements made in this prospectus, the statements made in this prospectus will be deemed modified or superseded by those made in a prospectus supplement. Please carefully read both this prospectus and any prospectus supplement before buying any of the securities offered.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sections entitled “Where You Can Find Additional Information” and “Incorporation of Certain Information By Reference.”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in this prospectus to “Motorsport Games,” “the Company,” “we,” “us,” “our” and similar references refer to Motorsport Games Inc., an entity incorporated under the laws of the State of Delaware.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 data and certain industry data and forecasts used throughout this prospectus were obtained from sources we believe to be reliable, including market research databases, publicly available information, reports of governmental agencies and industry publications and surveys. We have relied on certain data from third-party sources, including internal surveys, industry forecasts and market research, which we believe to be reliable based on our management’s knowledge of the industry. Forecasts are particularly likely to be inaccurate, especially over long periods of time. In addition, we do not necessarily know what assumptions regarding general economic growth were used in preparing the third-party forecasts we cite. Statements as to our market position are based on the most currently available data. While we are not aware of any misstatements regarding the industry data presented in this prospectus and the documents incorporated by reference into this prospectus, our estimates involve risks and uncertainties and are subject to change based on various factors, including those discussed under the heading “Risk Factors” in this prospectus and the documents incorporated by reference into this 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that involve risks and uncertainties. Our actual results could differ materially from those discussed in the forward-looking statements. The statements contained in this prospectus and the documents incorporated by reference herein that are not purely historical are forward-looking statements within the meaning of Section 27A of the Securities Act and Section 21E of the Securities Exchange Act of 1934, as amended (the “Exchange Act”). Forward-looking statements are often identified by the use of words such as, but not limited to, “anticipate,” “believe,” “can,” “continue,” “could,” “estimate,” “expect,” “intend,” “may,” “plan,” “project,” “seek,” “should,” “strategy,”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this section of the prospectus titled “Risk Factors.” Furthermore, such forward-looking statements speak only as of the date of this prospectus. Except as required by law, we undertake no obligation to update any forward-looking statements to reflect events or circumstances after the date of such statements.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Please consider our forward-looking statements in light of those risks as you read this prospectus and the documents incorporated by reference herein.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and the documents incorporated by reference herein is accurate as of any date other than as of the date of this prospectus or that any information incorporated by reference into this prospectus is accurate as of any date other than the date of the document so incorporated by reference. Except as required by law, we assume no obligation to update these forward-looking statements publicly, or to update the reasons actual results could differ materially from those anticipated in these forward-looking statements, even if new information becomes available in the future. Thus, you should not assume that our silence over time means that actual events are bearing out as expressed or implied in such forward-looking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materializes, or if our underlying assumptions prove to be incorrect, actual results may vary materially from what we anticipate. All subsequent written and oral forward-looking statements attributable to us or individuals acting on our behalf are expressly qualified in their entirety by this Note. Before purchasing any shares of our Class A common stock, you should consider carefully all of the factors set forth or referred to in this prospectus and the documents incorporated by reference that could cause actual results to differ.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contains basic information about us and this offering. Because it is a summary, it does not contain all of the information that you should consider before deciding to invest in our securities. Before you decide to invest in our securities, you should read this entire prospectus carefully, any related free writing prospectus that we have authorized for use in connection with the offering and the documents incorporated by reference herein, including the information included under the heading titled “Risk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Motorsport Games is a racing game developer, publisher and esports ecosystem provider of official motorsport racing series, including the iconic 24 Hours of Le Mans endurance race (“Le Mans”) and the associated FIA World Endurance Championship (the “WEC”). Our portfolio also includes the KartKraft karting simulation game, as well as Studio 397 B.V. (“Studio397”) and their rFactor 2 realistic racing simulator technology and platform.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purpose is to make the thrill of motorsports accessible to everyone by creating the highest quality, most sophisticated and innovative experiences for racers, gamers and fans of all ages. Our products and services target a large global motorsport audience. The latest figures reported from 2023 show Le Mans, which includes the WEC, having an estimated combined global fanbase of over 113 million, while the global fanbase for Formula 1 was estimated to be 1.61 billion.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develop and publish multi-platform racing video games including for game consoles, personal computers (PCs) and mobile platforms through various retail and digital channels, including full-game and downloadable content (“DLC”). We have obtained the official licenses to develop multi-platform games for the 24 Hours of Le Mans race and the WEC.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3, 2023, we sold our NASCAR licensed rights under that certain Second Amended and Restated Distribution and License Agreement with NASCAR Team Properties (“NTP”) (the “NASCAR License”) to iRacing.com Motorsport Simulations, LLC. Prior to the sale of our NASCAR License, we had been the official video game developer and publisher for the NASCAR video game racing franchise and had the exclusive right to create and organize esports leagues and events for NASCAR using our NASCAR racing video games, in each case, subject to certain limited exceptions. Concurrently with the sale of our NASCAR License, we entered into an agreement with NTP pursuant to which we have a limited non-exclusive right and license to, among other things, sell our NASCAR games and DLCs that are currently in our product portfolio through December 31, 2024 (the “NASCAR New Limited License”). For the three months ended June 30, 2024 and 2023, 55.0% and 77.7% of our total revenue, respectively, was generated from sales of our NASCAR racing video games.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striving to become a leader in organizing and facilitating esports tournaments, competitions, and events for our licensed racing games. In 2023, we organized the grand finale of the Le Mans Virtual Series 2022/23, the 24 Hours of Le Mans Virtual event, which had a cumulative total of approximately 8.8 million video views with approximately 27 million minutes watched. The 24 Hours of Le Mans Virtual event had a global audience of five million across television (TV)/over-the-top (OTT) channels. We continue to leverage esports competitions to bring wider awareness and engagement to our gaming products, while creating inspiring event spectacles for our viewers.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26, 2023, BARC (TOCA) Limited (“BARC”), the exclusive promoter of the British Touring Car Championship (the “BTCC”), delivered notice to us terminating the license agreement between the parties relating to our development of video games and the organization and facilitation of esports events for the BTCC (the “Previous BTCC License”), effective as of November 3, 2023. As a result, we no longer have the right to develop and publish the video games for the BTCC racing series or to create and organize its esports leagues and events.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8, 2023, INDYCAR, LLC delivered notice to us terminating the license agreements between the parties relating to our development of video games and the organization and facilitation of esports events for the INDYCAR racing series (collectively, the “INDYCAR License”), effective immediately. As a result, we no longer have the right to develop and publish the video games for the INDYCAR racing series or to create and organize its esports leagues and events.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20, 2024, we released Le Mans Ultimate on PC in early access. Le Mans Ultimate is the official game of the WEC and 24 Hours of Le Mans and is the first officially licensed and dedicated 24 Hours of Le Mans video game release in over twenty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we and BARC entered into a settlement agreement relating to the Previous BTCC License, whereby the parties concurrently entered into a new license agreement pursuant to which BARC granted us a non-exclusive license to use certain licensed intellectual property relating to the BTCC for official BTCC DLC digitally purchased for the rFactor 2 video game through December 31, 2026.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On April 26, 2024, we sold certain assets related to our motorsport and racing games community content platform in furtherance of streamlining our operations, reduction of operational costs and divestiture of non-core components.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17, 2024, we entered into a Settlement Agreement and License with INDYCAR, LLC (“the INDYCAR Agreement”). The INDYCAR Agreement resolved any and all disputes between us and INDYCAR with respect to the termination of (i) the License Agreement, dated July 13, 2021, by and between INDYCAR and us with respect to INDYCAR SERIES racing series related gaming products and (ii) the License Agreement, dated July 13, 2021, by and between INDYCAR and us with respect to INDYCAR SERIES racing series related esports events. Prior to entering into the INDYCAR Agreement, we had a total remaining liability in connection with the July 13, 2021 INDYCAR License, inclusive of unpaid installments, of $2.9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Financing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 and Concurrent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26, 2024, we entered into a securities purchase agreement (the “Purchase Agreement”) with certain investors named on the signature pages thereto. The Purchase Agreement provided for the sale and issuance by us in a registered direct offering (the “Registered Direct Offering”) of an aggregate of: (i) 351,928 shares (the “Shares”) of our Class A common stock, (ii) pre-funded warrants (the “Pre-Funded Warrants”) to purchase up to an aggregate of 108,902 shares of our Class A common stock, and (iii) in a concurrent private placement (the “Private Placement” and together with the Registered Direct Offering, the “Offering”), Series A Warrants to purchase up to 460,830 shares of our Class A common stock and Series B Warrants to purchase up to 460,830 shares of our Class A common stock.</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offering price per Share and accompanying Purchase Warrants (one Series A Warrant and one Series B Warrant) was $2.17 and the offering price per Pre-Funded Warrant and accompanying Purchase Warrants (one Series A Warrant and one Series B Warrant) was $2.1699. Each Pre-Funded Warrant is exercisable immediately for one share of our Class A common stock at an exercise price of $0.0001 per share and will expire when exercised in full.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and the Pre-Funded Warrants described above (and the shares of our Class A common stock issuable upon the exercise of the Pre-Funded Warrants) were offered and sold pursuant to an effective shelf registration statement on Form S-3 (File No. 333-262462) (the “Registration Statement”), a base prospectus included in the Registration Statement at the time it originally became effective (the “Base Prospectus”), and a prospectus supplement, dated July 26, 2024, to the Base Prospectus (the “Prospectus Supplement”), which was filed with the SEC on July 29, 2024 pursuant to Rule 424(b)(5) under the Securities Act. The Company received gross proceeds from the Offering of approximately $1.0 million. The Offering closed on July 29, 2024.</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Warrants will become exercisable on the effective date of the stockholder approval for the issuance of the shares of Class A common stock issuable upon exercise of the Purchase Warrants (the “Stockholder Approval Date”). The Series A Warrants will expire five and one-half years following the Stockholder Approval Date and the Series B Warrants will expire 18 months following the Stockholder Approval Date. The Purchase Warrants and the Warrant Shares were not registered under the Securities Act pursuant to the Registration Statement and the Prospectus Supplement. The Purchase Warrants and the Warrant Shares were offered pursuant to an exemption from the registration requirements of the Securities Act provided in Section 4(a)(2) of the Securities Act and/or Regulation D promulgated thereunder.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we agreed to file a registration statement to register the resale of the Warrant Shares as soon as practicable (and in any event no later than August 28, 2024, which is 30 calendar days following the closing of the Offering (the “Closing Date”)) and to use commercially reasonable efforts to cause such registration statement to become effective within 60 days following the Closing Date (or within 90 days following the Closing Date if the SEC informs us that it intends to review such registration statement). The registration statement on Form S-1, of which this prospectus forms a part, is being filed to satisfy the requirement set forth in the Purchase Agreement to register for resale the Warrant Shares.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entered into an engagement letter with Wainwright, dated November 6, 2023, the term of which was subsequently amended by us and Wainwright, pursuant to which Wainwright agreed to act as the exclusive placement agent for us, on a reasonable best-efforts basis, in connection with the Offering. We agreed to pay Wainwright an aggregate cash fee equal to 7.0% of the gross proceeds of the Offering. We also agreed to pay Wainwright certain expenses of $30,000 for non-accountable expenses and $15,950 for clearing fees. Additionally, we agreed to issue to Wainwright or its designees, the Placement Agent Warrants to purchase up to 27,650 shares of Class A common stock, which is equal to 6.0% of the aggregate number of shares of Class A common stock and shares of Class A common stock issuable upon the exercise of the Pre-Funded Warrants included in Offering. The Placement Agent Warrants have substantially the same terms as the Purchase Warrants described above, except that the Placement Agent Warrants have an exercise price of $2.7125 per share (representing 125% of the combined purchase price per Share and accompanying Purchase Warrants) and will expire five (5) years following the commencement of the sales of the securities in the Offering. The Placement Agent Warrants and the shares of Class A common stock issuable thereunder were offered pursuant to an exemption from the registration requirements of the Securities Act provided in Section 4(a)(2) of the Securities Act and/or Regulation D promulgated thereunder.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 but are not limited to:</w:t>
      </w:r>
    </w:p>
    <w:p>
      <w:pPr>
        <w:spacing w:after="0" w:line="176" w:lineRule="exact"/>
        <w:rPr>
          <w:sz w:val="20"/>
          <w:szCs w:val="20"/>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only two years of audited financial statements in addition to any required unaudited interim financial statements with correspondingly reduced “Management’s Discussion and Analysis of Financial Condition and Results of Operations” in our Securities Act filings;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non-binding advisory votes on executive compensation or golden parachute arrangements;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the auditor attestation requirement in the assessment of our internal control over financial reporting pursuant to Section 404(b) of the Sarbanes Oxley Act of 2002 (“SOX”).</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for up to five (5) years or such earlier time that we are no longer an “emerging growth company.” We will continue to remain an “emerging growth company” until the earliest of the following: (i) the last day of the fiscal year following the fifth anniversary of the date of the completion of our initial public offering;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and have elected to take advantage of certain of the scaled disclosures available to smaller reporting companies. To the extent that we continue to qualify as a “smaller reporting company” as such term is defined in Rule 12b-2 under the Exchange Act, after we cease to qualify as an emerging growth company, certain of the exemptions available to us as an “emerging growth company” may continue to be available to us as a “smaller reporting company,” including exemption from compliance with the auditor attestation requirements pursuant to SOX and reduced disclosure about our executive compensation arrangements. We will continue to be a “smaller reporting company” until we have $250 million or more in public float (based on our common stock) measured as of the last business day of our most recently completed second fiscal quarter or, in the event we have no public float (based on our common stock) or a public float (based on our common stock) that is less than $700 million and annual revenues of $100 million or more during the most recently completed fiscal year.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In addition, the JOBS Act provides that an emerging growth company may take advantage of an extended transition period for complying with new or revised accounting standards, delaying the adoption of these accounting standards until they would apply to private companies. We have elected to avail ourselves of the extended transition period for complying with new or revised financial accounting standards.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Material and Other Risks Associated with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and uncertainties that you should be aware of in evaluating our business. In particular, you should carefully consider the following risks, which are discussed more fully in the section entitled “Risk Factors” in this prospectus and the documents incorporated by reference in this prospectus:</w:t>
      </w:r>
    </w:p>
    <w:p>
      <w:pPr>
        <w:spacing w:after="0" w:line="176" w:lineRule="exact"/>
        <w:rPr>
          <w:sz w:val="20"/>
          <w:szCs w:val="20"/>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we expect to continue to incur losses for the foreseeable future. Accordingly, our financial condition raises substantial doubt regarding our ability to continue as a going concern.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meet our financial obligations, and this capital might not be available on acceptable terms or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borrowing capacity under the $12 million Line of Credit may affect our ability to finance our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consistently deliver popular products or if consumers prefer competing products, our business may be negatively impacted.</w:t>
      </w:r>
    </w:p>
    <w:p>
      <w:pPr>
        <w:spacing w:after="0" w:line="22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products are highly concentrated in the racing game genre, and our operating results may suffer if consumer preferences shift away from this genre.</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provide high-quality products in a timely manner, our business operations, financial performance, financial condition, liquidity, cash flows and/or results of operations may be negatively impacted.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identifying and implementing one or more strategic alternatives for our business, and any strategic alternative that we may consummate could have material adverse consequences for us.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consumer spending and other adverse changes in the economy could have a material adverse effect on our business, financial condition, liquidity, cash flows and/or operating results.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relatively small number of franchises for a significant portion of our revenues and profits.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maintain licenses to intellectual property, especially for sports titles, affects our revenues and profitability. Competition for these licenses may make them more expensive and increase our costs.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retail sales to our business exposes us to the risks of that business model.</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primarily depend on a single third-party distribution partner to distribute our games for the retail channel, and our ability to negotiate favorable terms with such partner and its continued willingness to purchase our games is critical for our business.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continue to generate a portion of our revenues from advertising and sponsorship during our esports events. If we are unable to attract more advertisers and sponsors to our gaming platform, tournaments or competitions, our revenues may be adversely affected.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manage the transitions associated with certain of our executive officers, which could have an adverse impact on us.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reliant on the retention of certain key personnel and the hiring of strategically valuable personnel, and we may lose or be unable to hire one or more of such personnel, which could adversely affect our ability to achieve our business plans and financial objectives.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relies on our marketing and branding efforts, and these efforts may not be accepted by consumers to the extent we planned.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protect our intellectual property, technology and confidential information could harm our business and operating results.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Driven Lifestyle Group LLC controls a significant amount of our Class A common stock and all our Class B common stock and therefore it has the ability to exert significant control over the direction of our business, which could prevent other stockholders from influencing significant decisions regarding our business plans and other matters.</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 longer controlled by or affiliated with Driven Lifestyle Group LLC, we may be unable to continue to benefit from that relationship, which may adversely affect our operations and have a material adverse effect on us and our financial performance, financial condition, liquidity and/or cash flows.</w:t>
      </w:r>
    </w:p>
    <w:p>
      <w:pPr>
        <w:spacing w:after="0" w:line="17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current business and future prospects, and we may not be able to effectively grow our business or implement our business strategies.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a smaller reporting company, and we cannot be certain if the reduced disclosure requirements applicable to us will make our Class A common stock less attractive to investors.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applicable Nasdaq listing requirements, our Class A common stock may be delisted from Nasdaq, which could affect the market price and liquidity of our Class A common stock.</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may adversely affect the trading market for our Class A common stock.</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unanticipated adverse effects arising from our inability to fully repay Luminis International B.V. and Technology In Business B.V., the sellers of Studio 397 B.V. (“Studio397”), relating to our acquisition of 100% of the share capital of Studio397 in April 2021.</w:t>
      </w:r>
    </w:p>
    <w:p>
      <w:pPr>
        <w:spacing w:after="0" w:line="17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240"/>
          </w:cols>
          <w:pgMar w:left="320" w:top="684" w:right="339" w:bottom="1440" w:gutter="0" w:footer="0" w:header="0"/>
        </w:sectPr>
      </w:pP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Shares of Class A common stock offered by the Selling Stockholders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949,310 shares of our Class A common stock, which consists of: (i) 460,830 shares issuable upon the exercise in full of the Series A Warrants (the “Series A Warrant Shares”), (ii) 460,830 shares issuable upon the exercise in full of the Series B Warrants (the “Series B Warrant Shares”), and (iii) 27,650 shares issuable upon exercise in full of the Placement Agent Warrants (the “Placement Agent Warrant Shares”).</w:t>
      </w:r>
    </w:p>
    <w:p>
      <w:pPr>
        <w:spacing w:after="0" w:line="179" w:lineRule="exact"/>
        <w:rPr>
          <w:sz w:val="20"/>
          <w:szCs w:val="20"/>
          <w:color w:val="auto"/>
        </w:rPr>
      </w:pPr>
    </w:p>
    <w:p>
      <w:pPr>
        <w:sectPr>
          <w:pgSz w:w="11900" w:h="16838" w:orient="portrait"/>
          <w:cols w:equalWidth="0" w:num="2">
            <w:col w:w="4500" w:space="240"/>
            <w:col w:w="650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to  be  outstanding  after  this</w:t>
            </w: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4,132,868 shares of Class A common stock, assuming the exercise of all of the Warrants</w:t>
            </w:r>
          </w:p>
        </w:tc>
      </w:tr>
      <w:tr>
        <w:trPr>
          <w:trHeight w:val="39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29"/>
                <w:szCs w:val="29"/>
                <w:b w:val="1"/>
                <w:bCs w:val="1"/>
                <w:color w:val="auto"/>
                <w:vertAlign w:val="superscript"/>
              </w:rPr>
              <w:t>(1)</w:t>
            </w: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offered by this prospectus.</w:t>
            </w:r>
          </w:p>
        </w:tc>
      </w:tr>
      <w:tr>
        <w:trPr>
          <w:trHeight w:val="291"/>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Registration of the Warrant Shares</w:t>
            </w: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Pursuant to the terms of the Purchase Agreement, we agreed to file the registration</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statement, of which this prospectus forms a part, with respect to the registration of the</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resale of the Warrant Shares underlying the Series A Warrants and Series B Warrants as</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soon as practicable (and in any event within 30 calendar days of the date of the Purchase</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 and to use commercially reasonable efforts to cause such registration</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statement to become effective within 60 days following the Closing Date (or within 90</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days following the Closing Date if the SEC informs us that it intends to review such</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registration statement) and to keep such registration statement effective at all times until</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Purchaser owns any Warrants or shares of Class A common stock issuable upon</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thereof. We are also registering the 27,650 shares of Class A common stock</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issuable upon exercise of the Placement Agent Warrants. The registration statement on</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S-1, of which this prospectus forms a part, is being filed to satisfy the requirement</w:t>
            </w:r>
          </w:p>
        </w:tc>
      </w:tr>
      <w:tr>
        <w:trPr>
          <w:trHeight w:val="234"/>
        </w:trPr>
        <w:tc>
          <w:tcPr>
            <w:tcW w:w="4620" w:type="dxa"/>
            <w:vAlign w:val="bottom"/>
          </w:tcPr>
          <w:p>
            <w:pPr>
              <w:spacing w:after="0"/>
              <w:rPr>
                <w:sz w:val="20"/>
                <w:szCs w:val="20"/>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register for resale the Warrant Shares.</w:t>
            </w:r>
          </w:p>
        </w:tc>
      </w:tr>
      <w:tr>
        <w:trPr>
          <w:trHeight w:val="41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Selling Stockholders will receive all of the proceeds of the sale of shares of Class A</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common stock offered from time to time pursuant to this prospectus. Accordingly, we will</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receive any proceeds from the sale of shares of Class A common stock that may be</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sold from time to time pursuant to this prospectus; however, we will receive proceeds</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any cash exercise of the Warrants. See “Use of Proceeds.” We intend to use the</w:t>
            </w:r>
          </w:p>
        </w:tc>
      </w:tr>
      <w:tr>
        <w:trPr>
          <w:trHeight w:val="234"/>
        </w:trPr>
        <w:tc>
          <w:tcPr>
            <w:tcW w:w="4620" w:type="dxa"/>
            <w:vAlign w:val="bottom"/>
          </w:tcPr>
          <w:p>
            <w:pPr>
              <w:spacing w:after="0"/>
              <w:rPr>
                <w:sz w:val="20"/>
                <w:szCs w:val="20"/>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any cash exercise of the Warrants for working capital purposes.</w:t>
            </w:r>
          </w:p>
        </w:tc>
      </w:tr>
      <w:tr>
        <w:trPr>
          <w:trHeight w:val="41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Selling Stockholders named in this prospectus, or their pledgees, donees, transferees,</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distributees, beneficiaries or other successors-in-interest, may offer or sell the shares of</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common stock offered hereby from time to time through public or private</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transactions at prevailing market prices, at prices related to prevailing market prices or at</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privately negotiated prices. The Selling Stockholders may also resell the shares of Class A</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to or through underwriters, broker-dealers or agents, who may receive</w:t>
            </w:r>
          </w:p>
        </w:tc>
      </w:tr>
      <w:tr>
        <w:trPr>
          <w:trHeight w:val="234"/>
        </w:trPr>
        <w:tc>
          <w:tcPr>
            <w:tcW w:w="4620" w:type="dxa"/>
            <w:vAlign w:val="bottom"/>
          </w:tcPr>
          <w:p>
            <w:pPr>
              <w:spacing w:after="0"/>
              <w:rPr>
                <w:sz w:val="20"/>
                <w:szCs w:val="20"/>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in the form of discounts, concessions or commissions.</w:t>
            </w:r>
          </w:p>
        </w:tc>
      </w:tr>
      <w:tr>
        <w:trPr>
          <w:trHeight w:val="41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See “Risk Factors” beginning on page 6 of this prospectus and in the documents</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incorporated by reference in this prospectus and the other information included in this</w:t>
            </w:r>
          </w:p>
        </w:tc>
      </w:tr>
      <w:tr>
        <w:trPr>
          <w:trHeight w:val="216"/>
        </w:trPr>
        <w:tc>
          <w:tcPr>
            <w:tcW w:w="46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prospectus for a discussion of factors you should carefully consider before investing in</w:t>
            </w:r>
          </w:p>
        </w:tc>
      </w:tr>
      <w:tr>
        <w:trPr>
          <w:trHeight w:val="234"/>
        </w:trPr>
        <w:tc>
          <w:tcPr>
            <w:tcW w:w="4620" w:type="dxa"/>
            <w:vAlign w:val="bottom"/>
          </w:tcPr>
          <w:p>
            <w:pPr>
              <w:spacing w:after="0"/>
              <w:rPr>
                <w:sz w:val="20"/>
                <w:szCs w:val="20"/>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securities.</w:t>
            </w:r>
          </w:p>
        </w:tc>
      </w:tr>
      <w:tr>
        <w:trPr>
          <w:trHeight w:val="41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Capital Market trading symbol</w:t>
            </w: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w:t>
            </w:r>
          </w:p>
        </w:tc>
      </w:tr>
      <w:tr>
        <w:trPr>
          <w:trHeight w:val="234"/>
        </w:trPr>
        <w:tc>
          <w:tcPr>
            <w:tcW w:w="4620" w:type="dxa"/>
            <w:vAlign w:val="bottom"/>
          </w:tcPr>
          <w:p>
            <w:pPr>
              <w:spacing w:after="0"/>
              <w:rPr>
                <w:sz w:val="20"/>
                <w:szCs w:val="20"/>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“MSGM.”</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of our Class A common stock that will be outstanding immediately after this offering as shown above is based on 3,183,558 shares outstanding as of August 16, 2024, and, unless otherwise indicated excludes:</w:t>
      </w:r>
    </w:p>
    <w:p>
      <w:pPr>
        <w:spacing w:after="0" w:line="162"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97,919 shares of our Class A common stock issuable upon the exercise of outstanding stock options with a weighted average exercise price of $135.95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2,081 additional shares of our Class A common stock reserved for future issuance under our equity incentive plans;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33,574 shares of our Class A common stock to be issued upon exercise of outstanding warrants having a weighted average exercise price of $25.95 per share.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Class A common stock involves a high degree of risk. You should carefully consider and evaluate all of the information contained in this prospectus and in the documents we incorporate by reference into this prospectus before you decide to purchase our shares of Class A common stock. In particular, you should carefully consider and evaluate the risks and uncertainties described under the heading “Risk Factors” in our most recent Annual Report on Form 10-K, as updated by annual, quarterly and other reports and documents that we file with the SEC and incorporate by reference into this prospectus, or any prospectus, including the risks we face described below, which risks could materially and adversely affect our business, results of operations and financial condition, which in turn could materially and adversely affect the value of the shares of our Class A common stock offered by this prospectus. Our business, financial condition, results of operations and prospects could be materially and adversely affected by these risks. As a result, you could lose all or part of your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this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Resales of our Class A common stock in the public market by our stockholders as a result of this offering may cause the market price of our Class A common stock to fall.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registering Class A common stock issuable upon the exercise of the Series A Warrants, Series B Warrants and Placement Agent Warrants. Sales of substantial amounts of our Class A common stock in the public market, or the perception that such sales might occur, could adversely affect the market price of our Class A common stock. The issuance of new shares of Class A common stock could result in resales of our Class A common stock by our current stockholders concerned about the potential ownership dilution of their holdings. Furthermore, in the future, we may issue additional shares of Class A common stock or other equity or debt securities exercisable or convertible into Class A common stock. Any such issuance could result in substantial dilution to our existing stockholders and could cause our stock price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levels of dilution and different outcomes in their investment results. The Selling Stockholders may sell such shares at different times and at different prices.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from the exercise of the Series A Warrants, Series B Warrants and Placement Agent Warrants, you may not agree with how we use the proceeds, and the proceeds may not be invested successfully.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designated any portion of the net proceeds from the exercise of the Series A Warrants, Series B Warrants and Placement Agent Warrants to be used for any particular purpose. Accordingly, our management will have broad discretion as to the use of the net proceeds and you will be relying on the judgment of our management with regard to the use of these net proceeds, and you will not have the opportunity, as part of your investment decision, to assess whether the proceeds are being used appropriately. It is possible that, pending their use, we may invest the net proceeds in a way that does not yield a favorable, or any, return for our company. Our management’s judgment may not result in positive returns on your investment and you will not have the opportunity to evaluate the economic, financial or other information upon which our management bases its decisions.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additional securities available for issuance, which, if issued, could adversely affect the rights of the holders of our Class A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time-to-time issue additional shares of Class A common stock or preferred stock. In addition, as opportunities present themselves, we may enter into financing or similar arrangements in the future, including the issuance of debt securities, Class A common stock or preferred stock. Any future issuances of Class A common stock or securities convertible into Class A common stock, would further dilute the percentage ownership of us held by holders of Class A common stock. In addition, the issuance of certain securities, may be used as an “anti-takeover” device without further action on the part of our stockholders, and may adversely affect the holders of the Class A common stock.</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will not declare cash dividends on our Class A common stock in the foreseeable future, stockholders must rely on appreciation of the value of our Class A common stock for any return on their investment.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Class A common stock. We currently anticipate that we will retain all available funds and future earnings, if any, to fund the development and growth of our business and will not declare or pay any cash dividends in the foreseeable future. As a result, only appreciation of the price of our Class A common stock, if any, will provide a return to investors in this offering.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our Class A common stock sold in this offering, you will experience immediate and substantial dilution in the net tangible book value of your shares.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price per share of our Class A common stock being offered may be higher than the net tangible book value per share of our outstanding Class A common stock prior to this offering. Assuming that an aggregate of 921,660 shares of our Class A common stock issuable upon exercise of Series A Warrants and Series B Warrants are sold at a price of $2.17 per share (the exercise price of the Series A Warrants and Series B Warrants), and 27,650 shares of our Class A common stock issuable upon exercise of Placement Agent Warrants are sold at a price of $2.7125 (the exercise price of the Placement Agent Warrants), new investors in this offering purchasing Series A Warrant Shares or Series B Warrant Shares will incur immediate dilution of $1.84 per share and new investors in this offering purchasing Placement Agent Warrant Shares will incur immediate dilution of $2.3725 per share, representing the difference between our as adjusted net tangible book value per share as of June 30, 2024 after giving effect to this offering and the assumed price of the Series A Warrant Shares, Series B Warrant Shares and Placement Agent Warrant Shares, as applicable. For a more detailed discussion of the foregoing, see the section entitled “Dilution” elsewhere in this prospectus.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need for future financing may result in the issuance of additional securities which will cause investors to experience dilution</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cash requirements may vary from those now planned depending upon numerous factors. We expect to require additional capital until our operations generate sufficient revenue to cover our expenses. Accordingly, we will need to obtain substantial additional funding in connection with our continuing operations. There are no other commitments by any person for future financing. Our securities may be offered to other investors at a price lower than the price per share offered to current stockholders, or upon terms which may be deemed more favorable than those offered to current stockholders. In addition, the issuance of securities in any future financing may dilute an investor’s equity ownership and have the effect of depressing the market price for our securities. Moreover, we may issue derivative securities, including options and/or warrants, from time to time, to procure qualified personnel or for other business reasons. The issuance of any such derivative securities, which is at the discretion of our Board of Directors, may further dilute the equity ownership of our stockholders.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A common stock, or securities convertible or exchangeable into Class A common stock, in future transactions may be higher or lower than the price per share paid by investors in this offering. No assurance can be given as to our ability to procure additional financing, if required, and on terms deemed favorable to us. To the extent additional capital is required and cannot be raised successfully, we may then have to limit our then current operations and/or may have to curtail certain, if not all, of our business objectives and plans.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will receive all of the proceeds of the sale of shares of Class A common stock offered from time to time pursuant to this prospectus. Accordingly, we will not receive any proceeds from the sale of shares of Class A common stock that may be sold from time to time pursuant to this prospectus; however, we will receive proceeds from any cash exercise of the Warrants. If all of the Warrants are exercised for cash, we will receive approximately $2.1 million in gross proceeds.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bear the out-of-pocket costs, expenses and fees incurred in connection with the registration of the shares of Class A common stock registered hereby, which may be resold by the Selling Stockholders pursuant to this prospectus. Other than registration expenses, such as SEC fees and legal and accounting expenses, which we will bear, the Selling Stockholders will bear any underwriting discounts, commissions, placement agent fees or other similar expenses payable with respect to sales of the shares of Class A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declared or paid dividends to holders of our Class A common stock since inception and do not plan to pay cash dividends in the foreseeable future to the holders of our Class A common stock. We currently intend to retain earnings, if any, to finance our growth.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THE OFFERING PRICE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prices at which the shares of our Class A common stock covered by this prospectus may actually be sold by the Selling Stockholders will be determined by the prevailing public market price for shares of our Class A common stock or by negotiations between the Selling Stockholders and the buyer or buyers of our Class A common stock in private transactions or as otherwise described in the section of this prospectus entitled “Plan of Distribution.”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Class A common stock, par value $0.0001 per share, 7,000,000 shares of Class B common stock, par value $0.0001 per share (the “Class B common stock”), and 1,000,000 shares of preferred stock, par value $0.0001 per share (the “preferred stock”). As of the date of this prospectus, we had 3,183,558 shares of Class A common stock and 700,000 shares of Class B common stock outstanding and no shares of preferred stock outstanding.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summary description of our capital stock is based on the provisions of our certificate of incorporation, our bylaws and the applicable provisions of the Delaware General Corporation Law (the “DGCL”). This description is not complete and is subject to, and qualified in its entirety by reference to, our certificate of incorporation and our bylaws, each of which is incorporated by reference as an exhibit to the registration statement of which this prospectus forms a part, and the DGCL. You should read our certificate of incorporation, our bylaws and the applicable provisions of the DGCL for a complete statement of the provisions described below and for other provisions that may be important to you. For information on how to obtain copies of our certificate of incorporation and our bylaws, see “Where You Can Find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January 8, 2021, we operated as a Florida limited liability company under the name Motorsport Gaming US LLC. On January 8, 2021, Motorsport Gaming US LLC converted into a Delaware corporation pursuant to a statutory conversion and changed its name to Motorsport Games Inc.</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as of January 8, 2021, 100% of the membership interests held by the sole member of Motorsport Gaming US LLC, Motorsport Network, LLC now known as Driven Lifestyle Group LLC (“Driven Lifestyle”), converted into an aggregate of (i) 700,000 shares of our Class A common stock, which have one vote per share (the “DL Initial Class A Shares”) and (ii) 700,000 shares of our Class B common stock, which have ten votes per share, which represented all of the outstanding shares of Class A common stock and Class B common stock immediately following the corporate conversion. Driven Lifestyle is the only holder of shares of our Class B common stock and does not have any transfer, conversion, registration or economic rights with respect to such shares of Class B common stock. In the event Driven Lifestyle or its affiliates relinquish beneficial ownership of any of the DL Initial Class A Shares at any time, one share of Class B common stock held by Driven Lifestyle will be cancelled for each such DL Initial Class A Share no longer beneficially owned by Driven Lifestyle or its affiliates. Any pledge of DL Initial Class A Shares by Driven Lifestyle or its affiliates will not constitute a relinquishment of such beneficial ownership. The DL Initial Class A Shares and shares of Class B common stock held by Driven Lifestyle will be adjusted in equal proportions for any stock dividend, stock split or similar transaction undertaken by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for each share held on all matters submitted to a vote of stockholders and holders of our Class B common stock are entitled to 10 votes for each share held on all matters submitted to a vote of stockholders. The holders of our Class A common stock and Class B common stock will vote together as a single class, unless otherwise required by law, our certificate of incorporation or our bylaws. Except as otherwise provided by law, our certificate of incorporation, our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our certificate of incorporation or bylaws, directors shall be elected by a plurality of the voting power of the shares present in person or represented by proxy at the meeting and entitled to vote on the election of directors. Pursuant to our certificate of incorporation, the number of authorized shares of common stock may be increased or decreased (but not below the number of shares of common stock or, in the case of a class or series of common stock, such class or series, then outstanding) by the affirmative vote of the holders of a majority of the voting power of the Class A common stock and Class B common stock, voting together as a single class, irrespective of the provisions of Section 242(b)(2) of the Delaware General Corporation Law. Under our certificate of incorporation, approval of the holders of a majority of the outstanding Class B common stock, voting as a separate class, will be required to increase or decrease the number of authorized shares of our Class B common stock, and the approval of two-thirds of the outstanding Class B common stock, voting as a separate class, will be required to amend or repeal, or adopt any provision inconsistent with, or otherwise alter, any provision of our certificate of incorporation that modifies the voting, par value, rights, powers, preferences, special rights, privileges or restrictions of the Class B common stock. In addition, Delaware law could require either holders of our Class A common stock or our Class B common stock to vote separately as a single class in the following circumstances:</w:t>
      </w:r>
    </w:p>
    <w:p>
      <w:pPr>
        <w:spacing w:after="0" w:line="195"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certificate of incorporation to increase or decrease the aggregate number of authorized shares or par value of a class of stock, then that class would be required to vote separately to approve the proposed amendment;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shares of Class A common stock are entitled to dividends when and as declared by our board of directors from funds legally available therefor if, as and when determined by our board of directors in its sole discretion, subject to provisions of law and any provision of our certificate of incorporation, as amended from time to time. The holder of Class B common stock will not be entitled to receive any dividends with respect to the shares of Class B common stock, except dividends payable in shares of Class B common stock or rights to acquire shares of Class B common stock that may be declared and paid to the holder of Class B common stock to proportionally adjust for dividends payable in shares of Class A common stock or rights to acquire shares of Class A common stock that are declared and paid to the holders of Class A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our Class A common stock and any participating preferred stock outstanding at that time will be entitled to share ratably in the net assets legally available for distribution to stockholders after the payment of or provision for all of our debts and other liabilities, and the preferential rights of and the payment of liquidation preferences, if any, on any outstanding shares of preferred stock. The holder of Class B common stock will not be entitled to receive any liquidation distributions with respect to the shares of Class B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outstanding shares of our Class A common stock are duly authorized, validly issued, fully paid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preemptive, conversion or redemption privileges, nor sinking fund provisions with respect to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up to 1,000,000 shares of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may offer. We will describe in the applicable prospectus supplement the terms of the series of preferred stock that we may offer, including, to the extent applicable:</w:t>
      </w:r>
    </w:p>
    <w:p>
      <w:pPr>
        <w:spacing w:after="0" w:line="183"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may offer;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5540" w:right="4220" w:hanging="4884"/>
        <w:spacing w:after="0" w:line="532" w:lineRule="auto"/>
        <w:tabs>
          <w:tab w:leader="none" w:pos="9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applicable;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applicable;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of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as well as our certificate of incorporation and our bylaws, may have the effect of delaying, deferring or discouraging another person from acquiring control of us. These provisions include the items described below.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which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76" w:lineRule="exact"/>
        <w:rPr>
          <w:sz w:val="20"/>
          <w:szCs w:val="20"/>
          <w:color w:val="auto"/>
        </w:rPr>
      </w:pPr>
    </w:p>
    <w:p>
      <w:pPr>
        <w:ind w:left="980" w:right="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In general, Section 203 of the DGCL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an amendment approved by at least a majority of the outstanding voting shares. We have not opted out of these provisions. As a result, mergers or other takeover or change in control attempts of us may be discouraged or prevented. These provisions may have the effect of delaying, deferring or preventing changes in control of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 Provisions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our bylaws include a number of provisions that could deter hostile takeovers or delay or prevent changes in control of our board of directors or management team, including the following: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Dual Class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above in “—Class A common stock—Voting Rights,” our certificate of incorporation provides for a dual class common stock structure, which will provide the holder of Class B common stock with significant influence over matters requiring stockholder approval, including the election of directors and significant corporate transactions, such as a merger or other sale of our Company or its assets.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share of Class A common stock is entitled to one vote, while each share of Class B common stock is entitled to ten votes. Driven Lifestyle is the only holder of shares of our Class B common stock and does not have any transfer, conversion, registration or economic rights with respect to such shares of Class B common stock. In the event Driven Lifestyle or its affiliates relinquish beneficial ownership of any of the DL Initial Class A Shares at any time, one share of Class B common stock held by Driven Lifestyle will be cancelled for each such DL Initial Class A Share no longer beneficially owned by Driven Lifestyle or its affiliates. Any pledge of DL Initial Class A Shares by Driven Lifestyle or its affiliates will not constitute a relinquishment of such beneficial ownership. The DL Initial Class A Shares and shares of Class B common stock held by Driven Lifestyle will be adjusted in equal proportions for any stock dividend, stock split or similar transaction undertaken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 Vacancies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authorize only 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and promotes continuity of management.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Action; Special Meeting of Stockholders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advance notice procedures for 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any potential acquirer’s own slate of directors or otherwise attempting to obtain control of our Company.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directors may only be removed for cause and upon the affirmative vote of a majority of the outstanding voting power of our capital stock voting together as a single class.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certificate of incorporation does not provide for cumulative voting.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Charter and Bylaw Provisions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Amendments to our certificate of incorporation will require the approval of two-thirds of the outstanding voting power of our common stock. Our certificate of incorporation and bylaws provide that approval of stockholders holding two-thirds of our outstanding voting power voting as a single class is required for stockholders to amend or adopt any provision of our bylaws.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Undesignated Preferred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Limits on Ability of Stockholders to Act by Written Consent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stockholders may only act by written consent without a meeting and without prior notice, if a consent is in writing, setting forth the actions so taken, signed by the holders of outstanding shares having not less than the minimum number of votes which would be necessary to authorize or take such action at a meeting at which all shares entitled to vote thereon were present and voted. This limit on the ability of our stockholders to act by written consent may lengthen the amount of time required to take stockholder 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Classification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two classes, with an alternating class being elected each year by our stockholders. The directors in each class will serve for a two-year term. A third party may be discouraged from making a tender offer or otherwise attempting to obtain control of us because it is more difficult and time-consuming for stockholders to replace a majority of the directors on a classified board.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or officers to us or our stockholders, (iii) any action asserting a claim against us arising pursuant to any provision of the DGCL or our certificate of incorporation or bylaws or (iv) any action asserting a claim that is governed by the internal affairs doctrine, shall be the Court of Chancery of the State of Delaware;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certificate of incorporation and bylaws also provide that the federal district courts of the United States of America will be the exclusive forum for the resolution of any complaint asserting a cause of action against us or any of our directors, officers, employees or agents arising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these provisions may have the effect of discouraging lawsuits against us or our directors and officers. There is uncertainty as to whether a court would enforce such provisions, and the enforceability of similar choice of forum provisions in other companies’ charter documents has been successfully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is ClearTrust, LLC. The transfer agent’s address is 16540 Pointe Village Dr, Suite 210, Lutz, Florida 33558 and its telephone number is (813) 235-4490.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trading symbol “MSGM.”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26, 2024, we entered into a securities purchase agreement (the “Purchase Agreement”) with certain investors named on the signature pages thereto. The Purchase Agreement provided for the sale and issuance by us in a registered direct offering (the “Registered Direct Offering”) of an aggregate of: (i) 351,928 shares (“Shares”) of our Class A common stock, (ii) pre-funded warrants (the “Pre-Funded Warrants”) to purchase up to an aggregate of 108,902 shares of our Class A common stock, and (iii) in a concurrent private placement (the “Private Placement” and together with the Registered Direct Offering, the “Offering”), Series A Warrants to purchase up to 460,830 shares of our Class A common stock and Series B Warrants to purchase up to 460,830 shares of our Class A common stock.</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offering price per Share and accompanying Purchase Warrants (one Series A Warrant and one Series B Warrant) was $2.17 and the offering price per Pre-Funded Warrant and accompanying Purchase Warrants (one Series A Warrant and one Series B Warrant) was $2.1699. Each Pre-Funded Warrant is exercisable immediately for one share of our Class A common stock at an exercise price of $0.0001 per share and will expire when exercised in full.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and the Pre-Funded Warrants described above (and the shares of our Class A common stock issuable upon the exercise of the Pre-Funded Warrants) were offered and sold pursuant to an effective shelf registration statement on Form S-3 (File No. 333-262462) (the “Registration Statement”), a base prospectus included in the Registration Statement at the time it originally became effective (the “Base Prospectus”), and a prospectus supplement, dated July 26, 2024, to the Base Prospectus (the “Prospectus Supplement”), which was filed with the SEC on July 29, 2024 pursuant to Rule 424(b)(5) under the Securities Act. The Company received gross proceeds from the Offering of approximately $1.0 million. The Offering closed on July 29, 2024.</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Warrants will become exercisable on the effective date of the stockholder approval for the issuance of the shares of Class A common stock issuable upon exercise of the Purchase Warrants (the “Stockholder Approval Date”). The Series A Warrants will expire five and one-half years following the Stockholder Approval Date and the Series B Warrants will expire 18 months following the Stockholder Approval Date. The Purchase Warrants and the Warrant Shares were not registered under the Securities Act pursuant to the Registration Statement and the Prospectus Supplement. The Purchase Warrants and the Warrant Shares were offered pursuant to an exemption from the registration requirements of the Securities Act provided in Section 4(a)(2) of the Securities Act and/or Regulation D promulgated thereunder.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we agreed to file a registration statement to register the resale of the Warrant Shares as soon as practicable (and in any event no later than August 28, 2024, which is 30 calendar days following the closing of the Offering (the “Closing Date”)) and to use commercially reasonable efforts to cause such registration statement to become effective within 60 days following the Closing Date (or within 90 days following the Closing Date if the SEC informs us that it intends to review such registration statement). The registration statement on Form S-1, of which this prospectus forms a part, is being filed to satisfy the requirement set forth in the Purchase Agreement to register for resale the Warrant Shares.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also provides that we shall not to issue, enter into any agreement to issue or announce the issuance or proposed issuance of any shares of Class A common stock or Class A common stock equivalents or to file any registration statement or any amendment or supplement thereto, subject to certain exceptions, for 75 days following the Closing Date. Further, we are prohibited from effecting or entering into an agreement to effect any issuance of Class A common stock or Class A common stock equivalents involving a Variable Rate Transaction (as such term is defined in the Purchase Agreement) until the six month anniversary of the Closing Date, subject to certain exceptions.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entered into an engagement letter with Wainwright, dated November 6, 2023, the term of which was subsequently amended by us and Wainwright, pursuant to which Wainwright agreed to act as the exclusive placement agent for us, on a reasonable best-efforts basis, in connection with the Offering. We agreed to pay Wainwright an aggregate cash fee equal to 7.0% of the gross proceeds of the Offering. We also agreed to pay Wainwright certain expenses of $30,000 for non-accountable expenses and $15,950 for clearing fees. Additionally, we agreed to issue to Wainwright or its designees, the Placement Agent Warrants to purchase up to 27,650 shares of Class A common stock, which is equal to 6.0% of the aggregate number of shares of Class A common stock and shares of Class A common stock issuable upon the exercise of the Pre-Funded Warrants included in Offering. The Placement Agent Warrants have substantially the same terms as the Purchase Warrants described above, except that the Placement Agent Warrants have an exercise price of $2.7125 per share (representing 125% of the combined purchase price per Share and accompanying Purchase Warrants) and will expire five (5) years following the commencement of the sales of the securities in the Offering. The Placement Agent Warrants and the shares of Class A common stock issuable thereunder were offered pursuant to an exemption from the registration requirements of the Securities Act provided in Section 4(a)(2) of the Securities Act and/or Regulation D promulgated thereunder.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invest in our shares of Class A common stock by purchasing Warrant Shares in this offering, your interest may be immediately and substantially diluted to the extent of the difference between the exercise price paid per share and the pro forma as adjusted net tangible book value per share of our Class A common stock. Net tangible book value per share is equal to the amount of our total tangible assets, less total liabilities, divided by the number of outstanding shares of our Class A common stock. As of June 30, 2024, our historical net tangible book value was approximately $(1.8 million), or $(0.65) per share.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 forma net tangible book value per share, which takes into account: (i) our issuance of 351,928 shares of our Class A common stock on July 29, 2024 in a registered direct offering and our receipt of $750,000 in net proceeds; and (ii) our issuance of 108,902 shares of our Class A common stock upon the exercise of all outstanding Pre-Funded Warrants, would have been approximately $(1.0 million), or $(0.32) per share, at June 30, 2024.</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Assuming the pro forma adjustments above and the cash exercise of all of the Purchase Warrants and all of the Placement Agent Warrants, resulting in the issuance of an aggregate of 949,310 shares of our Class A common stock upon the exercise thereof and our receipt of aggregate gross proceeds of $2,075,003, our pro forma as adjusted net tangible book value would have been approximately $1.1 million, or $0.33 per share, at June 30, 2024. This represents an immediate increase in net tangible book value of approximately $0.67 per share to our existing stockholders, and an immediate dilution of $1.83 per share to investors purchasing Series A Warrant Shares and Series B Warrant Shares and $2.3725 per share to investors purchasing Placement Agent Warrant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per share dilution to investors purchasing shares in an offering using this prospectus: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per Series A Warrant Share and Series B Warrant Share</w:t>
            </w:r>
          </w:p>
        </w:tc>
        <w:tc>
          <w:tcPr>
            <w:tcW w:w="1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Placement Agent Warrant Share</w:t>
            </w:r>
          </w:p>
        </w:tc>
        <w:tc>
          <w:tcPr>
            <w:tcW w:w="1100" w:type="dxa"/>
            <w:vAlign w:val="bottom"/>
          </w:tcPr>
          <w:p>
            <w:pPr>
              <w:spacing w:after="0"/>
              <w:rPr>
                <w:sz w:val="18"/>
                <w:szCs w:val="18"/>
                <w:color w:val="auto"/>
              </w:rPr>
            </w:pPr>
          </w:p>
        </w:tc>
        <w:tc>
          <w:tcPr>
            <w:tcW w:w="21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2.7125</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June 30, 2024</w:t>
            </w:r>
          </w:p>
        </w:tc>
        <w:tc>
          <w:tcPr>
            <w:tcW w:w="110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(0.33)</w:t>
            </w:r>
          </w:p>
        </w:tc>
        <w:tc>
          <w:tcPr>
            <w:tcW w:w="12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w:t>
            </w:r>
          </w:p>
        </w:tc>
        <w:tc>
          <w:tcPr>
            <w:tcW w:w="11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0.67</w:t>
            </w:r>
          </w:p>
        </w:tc>
        <w:tc>
          <w:tcPr>
            <w:tcW w:w="12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1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0.34</w:t>
            </w:r>
          </w:p>
        </w:tc>
      </w:tr>
      <w:tr>
        <w:trPr>
          <w:trHeight w:val="198"/>
        </w:trPr>
        <w:tc>
          <w:tcPr>
            <w:tcW w:w="6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Dilution per share to investors purchasing Series A Warrant Shares and Series B Warrant</w:t>
            </w:r>
          </w:p>
        </w:tc>
        <w:tc>
          <w:tcPr>
            <w:tcW w:w="1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100" w:type="dxa"/>
            <w:vAlign w:val="bottom"/>
          </w:tcPr>
          <w:p>
            <w:pPr>
              <w:spacing w:after="0"/>
              <w:rPr>
                <w:sz w:val="20"/>
                <w:szCs w:val="20"/>
                <w:color w:val="auto"/>
              </w:rPr>
            </w:pPr>
          </w:p>
        </w:tc>
        <w:tc>
          <w:tcPr>
            <w:tcW w:w="21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purchasing Placement Agent Warrant Shares</w:t>
            </w:r>
          </w:p>
        </w:tc>
        <w:tc>
          <w:tcPr>
            <w:tcW w:w="1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2.3725</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of our Class A common stock that will be outstanding immediately after this offering as shown above is based on 2,722,728 shares outstanding as of June 30, 2024, and, unless otherwise indicated excludes, as of that date:</w:t>
      </w:r>
    </w:p>
    <w:p>
      <w:pPr>
        <w:spacing w:after="0" w:line="162" w:lineRule="exact"/>
        <w:rPr>
          <w:sz w:val="20"/>
          <w:szCs w:val="20"/>
          <w:color w:val="auto"/>
        </w:rPr>
      </w:pPr>
    </w:p>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97,919 shares of our Class A common stock issuable upon the exercise of outstanding stock options with a weighted average exercise price of $135.95 per share;</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2,081 additional shares of our Class A common stock reserved for future issuance under our equity incentive plans;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33,574 shares of our Class A common stock to be issued upon exercise of outstanding warrants having a weighted average exercise price of $25.95 per share.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any outstanding options are exercised, new options or other securities are issued under our equity incentive plans, or we otherwise issue additional shares of Class A common stock in the future, at a price less than the public offering price, there will be further dilution to the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shares of our Class A common stock being offered by the Selling Stockholders are those issuable to the Selling Stockholders upon exercise of the Series A Warrants, Series B Warrants and the Placement Agent Warrants. For additional information regarding the issuances of the Series A Warrants, Series B Warrants and the Placement Agent Warrants, see “Description of the Private Placement” elsewhere in this prospectus. We are registering the shares of our Class A common stock in order to permit the Selling Stockholders to offer the shares of Class A common stock for resale from time to time. Except for the ownership of the Series A Warrants, the Series B Warrants and the Placement Agent Warrants, the Selling Stockholders have not had any material relationship with us within the past three years, except that on February 2, 2023, February 3, 2023 and February 6, 2023 (the “February 2023 Offerings”), we closed three (3) registered direct offerings pursuant to which we issued the following securities to the Selling Stockholders: (i) an aggregate of 33,574 were issued to Wainwright, and (ii) placement agent warrants to purchase up to an aggregate of 33,574 shares of our Class A common stock were issued to the following individuals (each of whom is an associated person of Wainwright): (a) Michael Vasinkevich (warrants to purchase 21,529 shares of our Class A common stock), (b) Noam Rubinstein (warrants to purchase 7,387 shares of our Class A common stock common stock), (c) Craig Schwabe (warrants to purchase 4,322 shares of our Class A common stock) and (d) Charles Worthman (warrants to purchase 336 shares of our Class A common stock). In addition, in connection with each of the February 2023 Offerings, Wainwright received a cash fee equal to 7.0% of the aggregate gross proceeds;</w:t>
      </w:r>
    </w:p>
    <w:p>
      <w:pPr>
        <w:spacing w:after="0" w:line="2" w:lineRule="exact"/>
        <w:rPr>
          <w:sz w:val="20"/>
          <w:szCs w:val="20"/>
          <w:color w:val="auto"/>
        </w:rPr>
      </w:pPr>
    </w:p>
    <w:p>
      <w:pPr>
        <w:jc w:val="both"/>
        <w:ind w:firstLine="8"/>
        <w:spacing w:after="0" w:line="255" w:lineRule="auto"/>
        <w:tabs>
          <w:tab w:leader="none" w:pos="2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non-accountable expense allowance of $50,000 for the first February 2023 Offering and $25,000 for the second and third February 2023 Offerings; and (iii) $15,950 for closing fees. Wainwright also received the compensation for the Offering that closed on July 29, 2024 as described under the section “Description of the Private Placement” included elsewhere in this prospectus.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our Class A common stock by each of the Selling Stockholders. The second column lists the number of shares of our Class A common stock beneficially owned by the Selling Stockholders, including its ownership of the shares of our Class A common stock, the Series A Warrants, Series B Warrants, the Placement Agent Warrants and/or any of our securities previously issued to the Selling Stockholders, as of August 16, 2024, assuming exercise in full of the Series A Warrants, Series B Warrants and Placement Agent Warrants held by the Selling Stockholders on that date, without regard to any limitations on exercises. As of August 16, 2024 (and prior to this Offering), we had 3,183,558 shares of our Class A common stock outstanding. Assuming the exercise in full of the Series A Warrants, the Series B Warrants and the Placement Agent Warrants and the issuance of the Series A Warrant Shares, the Series B Warrant Shares and the Placement Agent Warrant Shares, we will have 4,132,868 shares of our Class A common stock outstanding as of August 16, 2024.</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third column lists the maximum number of shares of our Class A common stock being offered by this prospectus by the Selling Stockholders without regard to any limitations on exercises. In accordance with the terms of the Series A Warrants and Series B Warrants with the Investor Selling Stockholders and an agreement with Wainwright, this prospectus generally covers the resale of the maximum number of shares of our Class A common stock issuable upon exercise of the Series A Warrants, Series B Warrants and the Placement Agent Warrants, determined as if the outstanding the Series A Warrants, Series B Warrants and Placement Agent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Series A Warrants, Series B Warrants and the Placement Agent Warrants. The fourth and fifth columns assume the sale of all of the shares offered by the Selling Stockholders pursuant to this prospectus.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Series A Warrants, Series B Warrants and the Placement Agent Warrants, the Selling Stockholders may not exercise the Series A Warrants, Series B Warrants or the Placement Agent Warrants to the extent such exercise would cause such Selling Stockholders, together with its affiliates and attribution parties, to beneficially own a number of shares of our Class A common stock that would exceed 4.99% of our then outstanding Class A common stock following such exercise, excluding for purposes of such determination shares of our Class A common stock issuable upon exercise of such warrants which have not been exercised. The number of shares in the second and third columns do not reflect this limitation. The Selling Stockholders may sell all, some or none of their shares in this offering. See “Plan of Distribution.”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5"/>
        </w:trPr>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of Common</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Common</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Common</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of Shares</w:t>
            </w:r>
          </w:p>
        </w:tc>
      </w:tr>
      <w:tr>
        <w:trPr>
          <w:trHeight w:val="216"/>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16"/>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in this</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Owned After</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Owned after</w:t>
            </w:r>
          </w:p>
        </w:tc>
      </w:tr>
      <w:tr>
        <w:trPr>
          <w:trHeight w:val="270"/>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Stockholders</w:t>
            </w:r>
          </w:p>
        </w:tc>
        <w:tc>
          <w:tcPr>
            <w:tcW w:w="22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(1)</w:t>
            </w:r>
          </w:p>
        </w:tc>
        <w:tc>
          <w:tcPr>
            <w:tcW w:w="4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Offering</w:t>
            </w:r>
            <w:r>
              <w:rPr>
                <w:rFonts w:ascii="Times New Roman" w:cs="Times New Roman" w:eastAsia="Times New Roman" w:hAnsi="Times New Roman"/>
                <w:sz w:val="29"/>
                <w:szCs w:val="29"/>
                <w:b w:val="1"/>
                <w:bCs w:val="1"/>
                <w:color w:val="auto"/>
                <w:w w:val="92"/>
                <w:vertAlign w:val="superscript"/>
              </w:rPr>
              <w:t>(2)</w:t>
            </w:r>
          </w:p>
        </w:tc>
        <w:tc>
          <w:tcPr>
            <w:tcW w:w="3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3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Offering</w:t>
            </w:r>
            <w:r>
              <w:rPr>
                <w:rFonts w:ascii="Times New Roman" w:cs="Times New Roman" w:eastAsia="Times New Roman" w:hAnsi="Times New Roman"/>
                <w:sz w:val="29"/>
                <w:szCs w:val="29"/>
                <w:b w:val="1"/>
                <w:bCs w:val="1"/>
                <w:color w:val="auto"/>
                <w:w w:val="92"/>
                <w:vertAlign w:val="superscript"/>
              </w:rPr>
              <w:t>(3)</w:t>
            </w:r>
          </w:p>
        </w:tc>
        <w:tc>
          <w:tcPr>
            <w:tcW w:w="160" w:type="dxa"/>
            <w:vAlign w:val="bottom"/>
            <w:tcBorders>
              <w:bottom w:val="single" w:sz="8" w:color="CCEEFF"/>
            </w:tcBorders>
          </w:tcPr>
          <w:p>
            <w:pPr>
              <w:spacing w:after="0"/>
              <w:rPr>
                <w:sz w:val="23"/>
                <w:szCs w:val="23"/>
                <w:color w:val="auto"/>
              </w:rPr>
            </w:pPr>
          </w:p>
        </w:tc>
      </w:tr>
      <w:tr>
        <w:trPr>
          <w:trHeight w:val="250"/>
        </w:trPr>
        <w:tc>
          <w:tcPr>
            <w:tcW w:w="44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Armistice Capital, LLC</w:t>
            </w:r>
            <w:r>
              <w:rPr>
                <w:rFonts w:ascii="Times New Roman" w:cs="Times New Roman" w:eastAsia="Times New Roman" w:hAnsi="Times New Roman"/>
                <w:sz w:val="28"/>
                <w:szCs w:val="28"/>
                <w:color w:val="auto"/>
                <w:vertAlign w:val="superscript"/>
              </w:rPr>
              <w:t>(4)</w:t>
            </w:r>
          </w:p>
        </w:tc>
        <w:tc>
          <w:tcPr>
            <w:tcW w:w="2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1,059,494</w:t>
            </w:r>
            <w:r>
              <w:rPr>
                <w:rFonts w:ascii="Times New Roman" w:cs="Times New Roman" w:eastAsia="Times New Roman" w:hAnsi="Times New Roman"/>
                <w:sz w:val="14"/>
                <w:szCs w:val="14"/>
                <w:color w:val="auto"/>
              </w:rPr>
              <w:t>(4)</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829,494</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230,000</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57"/>
        </w:trPr>
        <w:tc>
          <w:tcPr>
            <w:tcW w:w="4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Intracoastal Capital LLC</w:t>
            </w:r>
            <w:r>
              <w:rPr>
                <w:rFonts w:ascii="Times New Roman" w:cs="Times New Roman" w:eastAsia="Times New Roman" w:hAnsi="Times New Roman"/>
                <w:sz w:val="29"/>
                <w:szCs w:val="29"/>
                <w:color w:val="auto"/>
                <w:vertAlign w:val="superscript"/>
              </w:rPr>
              <w:t>(5)</w:t>
            </w: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92,166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92,166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(6)</w:t>
            </w:r>
          </w:p>
        </w:tc>
        <w:tc>
          <w:tcPr>
            <w:tcW w:w="1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39,259</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17,730</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21,529</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Noam Rubinstein</w:t>
            </w:r>
            <w:r>
              <w:rPr>
                <w:rFonts w:ascii="Times New Roman" w:cs="Times New Roman" w:eastAsia="Times New Roman" w:hAnsi="Times New Roman"/>
                <w:sz w:val="29"/>
                <w:szCs w:val="29"/>
                <w:color w:val="auto"/>
                <w:vertAlign w:val="superscript"/>
              </w:rPr>
              <w:t>(6)</w:t>
            </w: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16,097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8,710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7,387</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(6)</w:t>
            </w:r>
          </w:p>
        </w:tc>
        <w:tc>
          <w:tcPr>
            <w:tcW w:w="1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5,255</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933</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4,322</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(6)</w:t>
            </w: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613</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336</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9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Warrants, Series B Warrants and the Placement Agent Warrants are subject to a beneficial ownership limitation of 4.99%, which in each case restricts each of the Selling Stockholders from exercising that portion of the Warrants that would result in the Selling Stockholders and its affiliates owning, after exercise, a number of shares of our Class A common stock in excess of the beneficial ownership limitation (the “Beneficial Ownership Limitation”). The number of shares set forth in this column does not reflect the application of the Beneficial Ownership Limitation.</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460,830 Series A Warrant Shares; (ii) 460,830 Series B Warrant Shares; and (iii) 27,650 Placement Agent Warrant Shares. The number of shares set forth in this column does not reflect the application of the Beneficial Ownership Limitation.</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4,132,868 shares of our Class A common stock outstanding as of August 16, 2024, which assumes the exercise in full of the Series A Warrants, the Series B Warrants and the Placement Agent Warrants and the issuance of the Series A Warrant Shares, the Series B Warrant Shares and the Placement Agent Warrant Shares.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prior to this Offering consist of 230,000 shares of our Class A common stock and Purchase Warrants exercisable for up to 829,494 shares of Class A common stock. The number of shares beneficially owned after this Offering consist of 230,000 shares of our Class A common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Armistice Capital Master Fund Ltd. is c/o Armistice Capital, LLC, 510 Madison Avenue, 7th Floor, New York, NY 10022.</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prior to this Offering consist of Purchase Warrants exercisable for 92,166 shares of Class A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The warrants are subject to a beneficial ownership limitation of 4.99%, which such limitation restricts the Selling Stockholders from exercising that portion of the warrants that would result in the Selling Stockholders and its affiliates owning, after exercise, a number of shares of our Class A common stock in excess of the beneficial ownership limitation. The address of Intracoastal is 245 Palm Trail, Delray Beach, Florida 33483.</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4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Selling Stockholders is affiliated with H.C. Wainwright &amp; Co., LLC. H.C. Wainwright &amp; Co., LLC is a registered broker dealer and has a registered address of c/o H.C. Wainwright &amp; Co., LLC 430 Park Ave,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New York, NY 10022. Each of these Selling Stockholders has sole voting and dispositive power over the securities held. The maximum number of shares to be sold in this Offering consist of an aggregate of 27,650 shares of our Class A common stock issuable upon exercise of the Placement Agent Warrants, which were received as compensation for the Private Placement. The number of shares beneficially owned prior to this Offering consist of shares of our Class A common stock issuable upon exercise of the Placement Agent Warrants, together with shares of our Class A common stock issuable upon the exercise of warrants previously issued to these Selling Stockholders in connection with other transactions as set forth above. Each of these Selling Stockholders acquired the Placement Agent Warrants in the ordinary course of business and, at the time the Placement Agent Warrants were acquired, each of these Selling Stockholders had no agreement or understanding, directly or indirectly, with any person to distribute such securities.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Selling Stockholder of the securities and any of its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The Selling Stockholders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Stockholders has informed us that it does not have any written or oral agreement or understanding, directly or indirectly, with any person to distribute the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agreed to keep this prospectus effective until the date on which the Series A Warrants, Series B Warrants, the Placement Agent Warrants, the Series A Warrant Shares, the Series B Warrant Shares and the Placement Agent Warrant Shares have been sold. Under applicable rules and regulations under the Exchange Act, any person engaged in the distribution of the resale securities may not simultaneously engage in market making activities with respect to the Class A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Class A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Blank Rome LLP, New York, New York has passed upon the validity of the shares of our Class A common stock being registered by the registration statement of which this prospectus is a part.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Motorsport Games Inc. as of December 31, 2023 and 2022 and for the fiscal years then ended,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Additional information about Motorsport Games Inc. is contained at our website, </w:t>
      </w:r>
      <w:r>
        <w:rPr>
          <w:rFonts w:ascii="Times New Roman" w:cs="Times New Roman" w:eastAsia="Times New Roman" w:hAnsi="Times New Roman"/>
          <w:sz w:val="18"/>
          <w:szCs w:val="18"/>
          <w:i w:val="1"/>
          <w:iCs w:val="1"/>
          <w:color w:val="auto"/>
        </w:rPr>
        <w:t>www.motorsportgames.com</w:t>
      </w:r>
      <w:r>
        <w:rPr>
          <w:rFonts w:ascii="Times New Roman" w:cs="Times New Roman" w:eastAsia="Times New Roman" w:hAnsi="Times New Roman"/>
          <w:sz w:val="18"/>
          <w:szCs w:val="18"/>
          <w:color w:val="auto"/>
        </w:rPr>
        <w:t>. Information on our website is not incorporated by reference into this prospectus. We make available on our website our SEC filings as soon as reasonably practicable after those reports are filed with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filings made with the SEC (other than any portions of any such documents that are not deemed “filed” under the Exchange Act in accordance with the Exchange Act and applicable SEC rules) under Sections 13(a), 13(c), 14 or 15(d) of the Exchange Act including those made after the date of this prospectus and before the completion of the offerings of the securities included in this prospectus:</w:t>
      </w:r>
    </w:p>
    <w:p>
      <w:pPr>
        <w:spacing w:after="0" w:line="18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April 1, 2024 (File No. 001-39868);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SEC on May 7, 2024 (File No. 001-39868);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2024 filed with the SEC on August 9, 2024 (File No. 001-39868;</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29,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23, 2024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June 5, 2024</w:t>
        </w:r>
      </w:hyperlink>
      <w:hyperlink r:id="rId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June 12, 2024</w:t>
        </w:r>
      </w:hyperlink>
      <w:hyperlink r:id="rId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 xml:space="preserve">July 10, 2024 </w:t>
        </w:r>
      </w:hyperlink>
      <w:hyperlink r:id="rId34">
        <w:r>
          <w:rPr>
            <w:rFonts w:ascii="Times New Roman" w:cs="Times New Roman" w:eastAsia="Times New Roman" w:hAnsi="Times New Roman"/>
            <w:sz w:val="18"/>
            <w:szCs w:val="18"/>
            <w:color w:val="000000"/>
          </w:rPr>
          <w:t>(other than as indicated therein) and</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 xml:space="preserve">July 29, 2024 </w:t>
        </w:r>
      </w:hyperlink>
      <w:hyperlink r:id="rId34">
        <w:r>
          <w:rPr>
            <w:rFonts w:ascii="Times New Roman" w:cs="Times New Roman" w:eastAsia="Times New Roman" w:hAnsi="Times New Roman"/>
            <w:sz w:val="18"/>
            <w:szCs w:val="18"/>
            <w:color w:val="000000"/>
          </w:rPr>
          <w:t>(File No. 001-39868); and</w:t>
        </w:r>
      </w:hyperlink>
    </w:p>
    <w:p>
      <w:pPr>
        <w:spacing w:after="0" w:line="161" w:lineRule="exact"/>
        <w:rPr>
          <w:rFonts w:ascii="Times New Roman" w:cs="Times New Roman" w:eastAsia="Times New Roman" w:hAnsi="Times New Roman"/>
          <w:sz w:val="18"/>
          <w:szCs w:val="18"/>
          <w:color w:val="0000EE"/>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set forth in (i) our registration statement on </w:t>
      </w:r>
      <w:hyperlink r:id="rId39">
        <w:r>
          <w:rPr>
            <w:rFonts w:ascii="Times New Roman" w:cs="Times New Roman" w:eastAsia="Times New Roman" w:hAnsi="Times New Roman"/>
            <w:sz w:val="18"/>
            <w:szCs w:val="18"/>
            <w:u w:val="single" w:color="auto"/>
            <w:color w:val="0000EE"/>
          </w:rPr>
          <w:t>Form 8-A12B</w:t>
        </w:r>
      </w:hyperlink>
      <w:r>
        <w:rPr>
          <w:rFonts w:ascii="Times New Roman" w:cs="Times New Roman" w:eastAsia="Times New Roman" w:hAnsi="Times New Roman"/>
          <w:sz w:val="18"/>
          <w:szCs w:val="18"/>
          <w:color w:val="auto"/>
        </w:rPr>
        <w:t xml:space="preserve">, filed with the SEC on January 7, 2021 (File No. 001-39868) and (ii) </w:t>
      </w:r>
      <w:hyperlink r:id="rId40">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2023 filed with the SEC on April 1, 2024 (File No. 001-39868) entitled “Description of Motorsport Games Inc.’s Securities Registered under Section 12 of the Exchange Act.”</w:t>
      </w:r>
    </w:p>
    <w:p>
      <w:pPr>
        <w:spacing w:after="0" w:line="180"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the accompanying base prospectus or in a document incorporated or deemed to be incorporated by reference herein or therein, shall be deemed to be modified or superseded to the extent that a statement contained herein, or in any subsequent prospectus or in any subsequently filed document that also is incorporated or deemed to be incorporated by reference herein or therein, modifies or supersedes such statement. Any statement so modified or superseded shall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obtain, free of charge, a copy of any of these documents (other than exhibits to these documents unless the exhibits are specifically incorporated by reference into these documents or referred to in this prospectus) from our website (</w:t>
      </w:r>
      <w:r>
        <w:rPr>
          <w:rFonts w:ascii="Times New Roman" w:cs="Times New Roman" w:eastAsia="Times New Roman" w:hAnsi="Times New Roman"/>
          <w:sz w:val="18"/>
          <w:szCs w:val="18"/>
          <w:i w:val="1"/>
          <w:iCs w:val="1"/>
          <w:color w:val="auto"/>
        </w:rPr>
        <w:t>www.motorsportgames.com</w:t>
      </w:r>
      <w:r>
        <w:rPr>
          <w:rFonts w:ascii="Times New Roman" w:cs="Times New Roman" w:eastAsia="Times New Roman" w:hAnsi="Times New Roman"/>
          <w:sz w:val="18"/>
          <w:szCs w:val="18"/>
          <w:color w:val="auto"/>
        </w:rPr>
        <w:t>) or by writing or calling us at the following address and telephone number:</w:t>
      </w:r>
    </w:p>
    <w:p>
      <w:pPr>
        <w:spacing w:after="0" w:line="17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Motorsport Games Inc.</w:t>
      </w:r>
    </w:p>
    <w:p>
      <w:pPr>
        <w:spacing w:after="0" w:line="3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Florida 33137</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Corporate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507-8799</w:t>
      </w:r>
    </w:p>
    <w:p>
      <w:pPr>
        <w:spacing w:after="0" w:line="206"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949,310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438785</wp:posOffset>
            </wp:positionV>
            <wp:extent cx="2854325" cy="523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2854325" cy="52324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Motorsport Games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473075</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191135</wp:posOffset>
            </wp:positionV>
            <wp:extent cx="178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11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Roman"/>
      <w:start w:val="2"/>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30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jpe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31" Type="http://schemas.openxmlformats.org/officeDocument/2006/relationships/hyperlink" Target="https://www.sec.gov/Archives/edgar/data/1821175/000149315224012233/form10-k.htm" TargetMode="External"/><Relationship Id="rId32" Type="http://schemas.openxmlformats.org/officeDocument/2006/relationships/hyperlink" Target="https://www.sec.gov/Archives/edgar/data/1821175/000149315224018097/form10-q.htm" TargetMode="External"/><Relationship Id="rId33" Type="http://schemas.openxmlformats.org/officeDocument/2006/relationships/hyperlink" Target="https://www.sec.gov/Archives/edgar/data/1821175/000149315224030976/form10-q.htm" TargetMode="External"/><Relationship Id="rId34" Type="http://schemas.openxmlformats.org/officeDocument/2006/relationships/hyperlink" Target="https://www.sec.gov/Archives/edgar/data/1821175/000149315224021088/form8-k.htm" TargetMode="External"/><Relationship Id="rId35" Type="http://schemas.openxmlformats.org/officeDocument/2006/relationships/hyperlink" Target="https://www.sec.gov/Archives/edgar/data/1821175/000149315224022715/form8-k.htm" TargetMode="External"/><Relationship Id="rId36" Type="http://schemas.openxmlformats.org/officeDocument/2006/relationships/hyperlink" Target="https://www.sec.gov/Archives/edgar/data/1821175/000149315224023548/form8-k.htm" TargetMode="External"/><Relationship Id="rId37" Type="http://schemas.openxmlformats.org/officeDocument/2006/relationships/hyperlink" Target="https://www.sec.gov/Archives/edgar/data/1821175/000149315224026744/form8-k.htm" TargetMode="External"/><Relationship Id="rId38" Type="http://schemas.openxmlformats.org/officeDocument/2006/relationships/hyperlink" Target="https://www.sec.gov/Archives/edgar/data/1821175/000149315224029369/form8-k.htm" TargetMode="External"/><Relationship Id="rId39" Type="http://schemas.openxmlformats.org/officeDocument/2006/relationships/hyperlink" Target="https://www.sec.gov/Archives/edgar/data/1821175/000149315221000471/form8a12b.htm" TargetMode="External"/><Relationship Id="rId40" Type="http://schemas.openxmlformats.org/officeDocument/2006/relationships/hyperlink" Target="https://www.sec.gov/Archives/edgar/data/1821175/000149315223008878/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2024-09-03T10:09:41Z</dcterms:created>
  <dcterms:modified xsi:type="dcterms:W3CDTF">2024-09-03T10:09:41Z</dcterms:modified>
</cp:coreProperties>
</file>