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Motorsport Games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814"/>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86-1791356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3350 SW 148</w:t>
            </w:r>
            <w:r>
              <w:rPr>
                <w:rFonts w:ascii="Times New Roman;Times;Serif" w:hAnsi="Times New Roman;Times;Serif"/>
                <w:b/>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w:t>
            </w:r>
            <w:bookmarkStart w:id="9" w:name="xdx_90E_edei--EntityAddressAddressLine2_"/>
            <w:bookmarkEnd w:id="9"/>
            <w:r>
              <w:rPr>
                <w:rFonts w:ascii="Times New Roman;Times;Serif" w:hAnsi="Times New Roman;Times;Serif"/>
                <w:b/>
                <w:i w:val="false"/>
                <w:caps w:val="false"/>
                <w:smallCaps w:val="false"/>
                <w:sz w:val="20"/>
              </w:rPr>
              <w:t xml:space="preserve">Avenue, </w:t>
            </w:r>
            <w:bookmarkStart w:id="10" w:name="xdx_90E_edei--EntityAddressAddressLine3_"/>
            <w:bookmarkEnd w:id="10"/>
            <w:r>
              <w:rPr>
                <w:rFonts w:ascii="Times New Roman;Times;Serif" w:hAnsi="Times New Roman;Times;Serif"/>
                <w:b/>
                <w:i w:val="false"/>
                <w:caps w:val="false"/>
                <w:smallCaps w:val="false"/>
                <w:sz w:val="20"/>
              </w:rPr>
              <w:t>Suite 207</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CityOrTown_c2"/>
            <w:bookmarkEnd w:id="11"/>
            <w:r>
              <w:rPr>
                <w:rFonts w:ascii="Times New Roman;Times;Serif" w:hAnsi="Times New Roman;Times;Serif"/>
                <w:b/>
                <w:i w:val="false"/>
                <w:caps w:val="false"/>
                <w:smallCaps w:val="false"/>
                <w:sz w:val="20"/>
              </w:rPr>
              <w:t xml:space="preserve">Miramar </w:t>
            </w:r>
            <w:bookmarkStart w:id="12" w:name="xdx_90F_edei--EntityAddressStateOrProvin"/>
            <w:bookmarkEnd w:id="12"/>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9_edei--EntityAddressPostalZipCode"/>
            <w:bookmarkEnd w:id="13"/>
            <w:r>
              <w:rPr>
                <w:rFonts w:ascii="Times New Roman;Times;Serif" w:hAnsi="Times New Roman;Times;Serif"/>
                <w:b/>
                <w:i w:val="false"/>
                <w:caps w:val="false"/>
                <w:smallCaps w:val="false"/>
                <w:sz w:val="20"/>
              </w:rPr>
              <w:t>33027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F_edei--CityAreaCode_c20260814__20"/>
      <w:bookmarkEnd w:id="14"/>
      <w:r>
        <w:rPr>
          <w:rFonts w:ascii="Times New Roman;Times;Serif" w:hAnsi="Times New Roman;Times;Serif"/>
          <w:b/>
          <w:i w:val="false"/>
          <w:caps w:val="false"/>
          <w:smallCaps w:val="false"/>
          <w:sz w:val="20"/>
        </w:rPr>
        <w:t xml:space="preserve">(305) </w:t>
      </w:r>
      <w:bookmarkStart w:id="15" w:name="xdx_90D_edei--LocalPhoneNumber_c20260814"/>
      <w:bookmarkEnd w:id="15"/>
      <w:r>
        <w:rPr>
          <w:rFonts w:ascii="Times New Roman;Times;Serif" w:hAnsi="Times New Roman;Times;Serif"/>
          <w:b/>
          <w:i w:val="false"/>
          <w:caps w:val="false"/>
          <w:smallCaps w:val="false"/>
          <w:sz w:val="20"/>
        </w:rPr>
        <w:t>413-0812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3_edei--WrittenCommunications_c202"/>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SolicitingMaterial_c202608"/>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TenderOffer"/>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9_edei--PreCommencementIssuerTende"/>
            <w:bookmarkEnd w:id="19"/>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28" w:type="dxa"/>
          <w:right w:w="0" w:type="dxa"/>
        </w:tblCellMar>
      </w:tblPr>
      <w:tblGrid>
        <w:gridCol w:w="4250"/>
        <w:gridCol w:w="60"/>
        <w:gridCol w:w="1610"/>
        <w:gridCol w:w="60"/>
        <w:gridCol w:w="3710"/>
      </w:tblGrid>
      <w:tr>
        <w:trPr/>
        <w:tc>
          <w:tcPr>
            <w:tcW w:w="4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Security12bTitle_c20260814"/>
            <w:bookmarkEnd w:id="20"/>
            <w:r>
              <w:rPr>
                <w:rFonts w:ascii="Times New Roman;Times;Serif" w:hAnsi="Times New Roman;Times;Serif"/>
                <w:b w:val="false"/>
                <w:i w:val="false"/>
                <w:caps w:val="false"/>
                <w:smallCaps w:val="false"/>
                <w:sz w:val="20"/>
              </w:rPr>
              <w:t xml:space="preserve">Class A common stock, $0.0001 par value per share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TradingSymbol_c20260814__2"/>
            <w:bookmarkEnd w:id="21"/>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4_edei--SecurityExchangeName_c2026"/>
            <w:bookmarkEnd w:id="22"/>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r>
        <w:trPr/>
        <w:tc>
          <w:tcPr>
            <w:tcW w:w="42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Security12bTitle_c20260814"/>
            <w:bookmarkEnd w:id="23"/>
            <w:r>
              <w:rPr>
                <w:rFonts w:ascii="Times New Roman;Times;Serif" w:hAnsi="Times New Roman;Times;Serif"/>
                <w:b w:val="false"/>
                <w:i w:val="false"/>
                <w:caps w:val="false"/>
                <w:smallCaps w:val="false"/>
                <w:sz w:val="20"/>
              </w:rPr>
              <w:t>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7_edei--TradingSymbol_c20260814__2"/>
            <w:bookmarkEnd w:id="24"/>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5" w:name="xdx_900_edei--SecurityExchangeName_c2026"/>
            <w:bookmarkEnd w:id="25"/>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2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6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Motorsport Games Inc. (the “Company”) issued a press release announcing its financial results for the quarter ended June 30, 2026. A copy of the Press Release is furnished as Exhibit 99.1 to this report. The Press Release is deemed to be “furnished” to the U.S. Securities and Exchange Commission (the “SEC”) and shall not be deemed to be “filed” for purposes of Section 18 of the Exchange Act of 1934, as amended (the “Exchange Act”), or otherwise subject to the liabilities of that section. The Press Release shall not be deemed to be incorporated by reference into any of the Company’s filings under the Securities Act of 1933, as amended (the “Securities Act”)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posted on its website presentation materials related to the Company’s financial results for its fiscal quarter ended June 30, 2026 (the “Presentation”). A copy of the Presentation is attached to this Form 8-K as Exhibit 99.2 and it is incorporated by reference into this Item 7.01. These materials may be amended or updated at any time and from time to time through another Current Report on Form 8-K, a later Company filing, a later posting on the Company’s website or other applicable means. The Presentation is deemed to be “furnished” to the SEC and it shall not be deemed to be “filed” for purposes of Section 18 of the Exchange Act, or otherwise subject to the liabilities of that section. The Presentation shall not be deemed to be incorporated by reference into any of the Company’s filings under the Securities Act or the Exchange Act, except as may be expressly set forth by specific reference in any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425"/>
        <w:gridCol w:w="6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6485" w:type="dxa"/>
            <w:tcBorders/>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14, 2026</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99.2 </w:t>
            </w:r>
          </w:p>
        </w:tc>
        <w:tc>
          <w:tcPr>
            <w:tcW w:w="6485" w:type="dxa"/>
            <w:tcBorders/>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Motorsport Games Inc. Presentation</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865"/>
        <w:gridCol w:w="320"/>
        <w:gridCol w:w="30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bookmarkStart w:id="28" w:name="ex99-1.htm"/>
      <w:bookmarkStart w:id="29" w:name="ks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Reports 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 August 14, 2026 — Motorsport Games Inc. (NASDAQ: MSGM) (“Motorsport Games” or “the Company”) today reported financial results for its second quarter ended June 30, 2026. The Company has also posted second quarter 2026 earnings slides highlighting key milestones that occurred during and subsequent to the period, which are accessible on the Company’s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report a sixth consecutive quarter of profitability, with revenues for the first half of the year growing strongly against the same period last year.” commented Stephen Hood, President and Chief Executive Officer of Motorsport Games. “What is particularly pleasing is that our gross margin has expanded alongside that growth. We are not simply growing, we are growing more efficiently, and we believe that is the clearest evidence yet that the transformation of this business is now consistent and repeatable.”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 am also delighted to share that we have now sold more than half a million units of the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 xml:space="preserve">base game alongside more than 1.2 million individual pieces of downloadable content. Subsequent to the period, we released Version 1.4, bringing the Daytona and Laguna Seca circuits to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and extending our content beyond the European racing world for the first time. The initial results of this expansion are very promising with the U.S. Track launch date reporting the highest single day revenues since the game’s initial launch in Early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Hood continued, “Furthermore, we believe RaceControl should now be recognized not as a feature that supports </w:t>
      </w:r>
      <w:r>
        <w:rPr>
          <w:rFonts w:ascii="Times New Roman;Times;Serif" w:hAnsi="Times New Roman;Times;Serif"/>
          <w:b w:val="false"/>
          <w:i/>
          <w:caps w:val="false"/>
          <w:smallCaps w:val="false"/>
          <w:sz w:val="20"/>
        </w:rPr>
        <w:t xml:space="preserve">Le Mans Ultimate, </w:t>
      </w:r>
      <w:r>
        <w:rPr>
          <w:rFonts w:ascii="Times New Roman;Times;Serif" w:hAnsi="Times New Roman;Times;Serif"/>
          <w:b w:val="false"/>
          <w:i w:val="false"/>
          <w:caps w:val="false"/>
          <w:smallCaps w:val="false"/>
          <w:sz w:val="20"/>
        </w:rPr>
        <w:t>but as a platform business in its own right. Mid-way through its second year, subscription growth has been substantial, it carries a materially better margin profile than our content business because it runs on infrastructure we operate ourselves, and it is embedded in the daily habits of every one of our players. RaceControl is now central to how we intend to grow, and we look forward to sharing further news on the next stage of growth for the platform on our next earnings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Highlights and Subsequent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Motorsport Games continued to grow subscription revenue within its RaceControl platform while investing deliberately in the next phase of the Company’s growth.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Generated revenues of $3.5 million in Q2 2026 compared to $2.6 million in Q2 2025, an increase of $0.9 million, or 36.6%; revenues for the six months ended June 30, 2026 were $7.6 million, compared to $4.4 million for the same period in 2025, an increase of $3.2 million or 74.0%.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RaceControl subscription revenues grew to approximately $1.4 million for the six months ended June 30, 2026, up from approximately $0.3 million for the same period in 2025, an increase of approximately 348.9%. RaceControl is currently generating approximately $2.9 million in annual recurring revenues, up from approximately $1.2 million for the full year 2025. As of June 30, 2026, RaceControl had more than 40,500 paid subscribers, an increase of more than 230% compared to June 30, 2025, achieved entirely through organic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the six months ended June 30, 2026 increased to 84.7%, compared to 78.8% for the same period in 2025.</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diluted net income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$0.33 in H1 2026, compared to $0.24 in H1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Released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Version 1.4 in July 2026, featuring new American track packs, including Daytona and Laguna Seca race circuits, along with other game improvements.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has now sold over 500,000 units of the base game and approximately 1.2 million individual downloadable content (DLC) units since launch.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Achieved a new all-time peak of more than 8,800 concurrent players in March 2026 following the release of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Version 1.3 and recorded its highest-ever month for average daily active users in April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the repurchase of 904,395 shares of Class A Common Stock from Driven Lifestyle Group LLC, resulting in the retirement of all outstanding shares of Class B Common Stock and the elimination of super-voting rights, simplifying the Company’s capital structure and establishing equal voting rights for all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Hansen-Chambers was appointed as the Company’s Chief Financial Officer effective July 1, 2026, as the Company works to expand its product portfolio and diversify revenue lines beyond its existing titles.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 Financial Highlights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second quarter of 2026 were approximately $3.5 million compared to approximately $2.6 million for the same period in the prior year, an increase of approximately $0.9 million, or 36.6%. For the six months ended June 30, 2026, revenues were approximately $7.6 million compared to approximately $4.4 million for the same period in the prior year, an increase of approximately $3.2 million, or 74.0%. Gross profit for the second quarter of 2026 was $2.9 million compared to $2.1 million for the same period in the prior year, an increase of $0.8 million. For the six months ended June 30, 2026, gross profit was $6.4 million compared to $3.4 million for the same period in the prior year, an increase of approximately $3.0 million, or 86.9%, with gross profit margin achieving 84.7%, compared to 78.8% for the same period in the prior year. RaceControl, the Company’s free-to-join player platform which offers premium subscription tiers, generated subscription revenues of approximately $1.4 million for the six months ended June 30, 2026, compared to approximately $0.3 million for the same period in the prior year, an increase of approximately 348.9%, and representing approximately 18.0% of the Company’s total revenues for the six months ended June 30, 2026, compared to approximately 7% for the first half of 2025 and less than 1% for the full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income for the second quarter of 2026 was approximately $0.2 million, compared to approximately $4.2 million for the same period in the prior year, representing the sixth consecutive quarter of positive net income. </w:t>
      </w:r>
      <w:r>
        <w:rPr>
          <w:rFonts w:ascii="Times New Roman;Times;Serif" w:hAnsi="Times New Roman;Times;Serif"/>
          <w:b/>
          <w:i w:val="false"/>
          <w:caps w:val="false"/>
          <w:smallCaps w:val="false"/>
          <w:sz w:val="20"/>
        </w:rPr>
        <w:t xml:space="preserve">Q2 2025 net income is comprised of several non-recurring gains unrelated to our core operations, including $2.3 million in gains on foreign exchange rates and a $0.8 million gain from the Wesco Settlement Agreement, neither of which recurred in the current period. </w:t>
      </w:r>
      <w:r>
        <w:rPr>
          <w:rFonts w:ascii="Times New Roman;Times;Serif" w:hAnsi="Times New Roman;Times;Serif"/>
          <w:b w:val="false"/>
          <w:i w:val="false"/>
          <w:caps w:val="false"/>
          <w:smallCaps w:val="false"/>
          <w:sz w:val="20"/>
        </w:rPr>
        <w:t xml:space="preserve">The Company also increased its investment in development during the second quarter of 2026, with development expenses nearly tripling year-over-year, primarily reflecting continued investment in growing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and RaceControl with new content and features. On an adjusted basis, which management believes better reflects the Company’s underlying operating performance, the Company remained profitable: Non-GAAP Adjusted diluted net income per share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$0.19 in the second quarter of 2026, compared to $0.25 for the same period in the prior year. However, for the six months ended June 2026, Non-GAAP Adjusted diluted net income per share was $0.33 compared to $0.24 in the same prior year period. The Company’s management believes that these six-month figures provide a more useful overview of the Company’s recent performance given the non-recurring gains in Q2 2025 highlighted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for the second quarter of 2026 was $0.8 million compared to Adjusted EBITDA</w:t>
      </w: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of $1.4 million for the same period in the prior year. The decrease in Adjusted EBITDA is primarily due to the same non-recurring gains, including discounts negotiated on a few outstanding vendor invoices in the prior year, as well as increased expenses this year resulting from the Company’s increased investment in development during the current period, offset by an increase in stock-based compensation. Adjusted EBITDA for the six months ended June 2026 was $2.2 million compared to $1.0 million in the same prior year period, primarily driven by the increase in revenues between the two periods and growth in gross profit margin.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generated an average positive cash flow from operations of approximately $0.5 million per month, primarily due to increased profitability and the capitalization of internally-developed software. During the second quarter of 2026, the Company also completed the repurchase of 904,395 shares of its Class A Common Stock from Driven Lifestyle Group LLC, resulting in the retirement of all outstanding Class B Common Stock and establishing equal voting rights for all shareholders. Working capital as of June 30, 2026 was $2.9 million, compared to $2.2 million as of June 30, 2025. As of June 30, 2026, the Company had cash and cash equivalents of approximately $3.9 million. The Company maintains a $3 million revolving line of credit from Citibank, N.A., secured in February 2026 and extended in May 2026 to a maturity date of February 20, 2028, of which $1.2 million was drawn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and Non-GAAP Adjusted diluted net income per share (the “Non-GAAP Measures”) are not financial measures defined by U.S. generally accepted accounting principles (“U.S. GAAP”). Reconciliations of these Non-GAAP Measures to net income and diluted net income per share, their most directly comparable financial measures, calculated and presented in accordance with U.S. GAAP, are presented in the Appendix 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 measure used by management to assess the Company’s operating performance, is defined as EBITDA, which is net income plus interest expense, depreciation and amortization, less income tax benefit (if any), adjusted to exclude: (i) gain from settlement of license liabilities and other agreements; (ii) gain from sale of gaming licenses; (iii) impairment of intangible assets; (iv) loss contingency expenses; (v) loss (gain) on foreign exchange rates; and (vi) stock-based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Adjusted diluted net income per share, another measure used by management to assess the Company’s operating performance, is defined as diluted net income per share plus depreciation and amortization, adjusted to exclude: (i) gain from settlement of license liabilities and other agreements; (ii) gain from sale of gaming licenses; (iii) impairment of intangible assets; (iv) loss contingency expenses; (v) loss (gain) on foreign exchange rates; and (vi) stock-based compensation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Non-GAAP Measures to manage its business and evaluate its financial performance, as Adjusted EBITDA and Non-GAAP Adjusted diluted net income per share eliminate items that affect comparability between periods that the Company believes are not representative of its core ongoing operating business. Additionally, management believes that using the Non-GAAP Measures is useful to its investors because it enhances investors’ understanding and assessment of the Company’s normalized operating performance and facilitates comparisons to prior periods and its competitors’ results (who may define Adjusted EBITDA and Non-GAAP Adjusted diluted net income per share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Measures are not recognized terms under U.S. GAAP and do not purport to be an alternative to revenue, income/loss from operations, net income, or cash flows from operations or as a measure of liquidity or any other performance measure derived in accordance with U.S. GAAP. Additionally, the Non-GAAP Measures are not intended to be measures of free cash flows available for management’s discretionary use, as they do not consider certain cash requirements, such as interest payments, tax payments, working capital requirements and debt service requirements. The Non-GAAP Measure have limitations as an analytical tool, and investors should not consider them in isolation or as a substitute for our results as reported under U.S. GAAP. Management compensates for the limitations of using the Non-GAAP Measures by using them to supplement U.S. GAAP results to provide a more complete understanding of the factors and trends affecting the business than would be presented by using only measures in accordance with U.S. GAAP. Because not all companies use identical calculations, the Non-GAAP Measures may not be comparable to other similarly titled measures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host a conference call and webcast at 5:00 p.m. ET today, August 14, 2026, to discuss its financial results. The live conference call can be accessed by dialing 1-800-420-1459 or 1-203-518-9861 and using Conference ID “MOTOR”. Alternatively, participants may access the live webcast on the Motorsport Games Investor Relations website at </w:t>
      </w:r>
      <w:r>
        <w:rPr>
          <w:rFonts w:ascii="Times New Roman;Times;Serif" w:hAnsi="Times New Roman;Times;Serif"/>
          <w:b w:val="false"/>
          <w:i w:val="false"/>
          <w:caps w:val="false"/>
          <w:smallCaps w:val="false"/>
          <w:sz w:val="20"/>
          <w:u w:val="single"/>
        </w:rPr>
        <w:t>https://ir.motorsportgames.com</w:t>
      </w:r>
      <w:r>
        <w:rPr>
          <w:rFonts w:ascii="Times New Roman;Times;Serif" w:hAnsi="Times New Roman;Times;Serif"/>
          <w:b w:val="false"/>
          <w:i w:val="false"/>
          <w:caps w:val="false"/>
          <w:smallCaps w:val="false"/>
          <w:sz w:val="20"/>
        </w:rPr>
        <w:t xml:space="preserve"> under “Events.”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Motorsport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w:t>
      </w:r>
      <w:r>
        <w:rPr>
          <w:rFonts w:ascii="Times New Roman;Times;Serif" w:hAnsi="Times New Roman;Times;Serif"/>
          <w:b w:val="false"/>
          <w:i/>
          <w:caps w:val="false"/>
          <w:smallCaps w:val="false"/>
          <w:sz w:val="20"/>
        </w:rPr>
        <w:t>Le Mans Ultimate</w:t>
      </w:r>
      <w:r>
        <w:rPr>
          <w:rFonts w:ascii="Times New Roman;Times;Serif" w:hAnsi="Times New Roman;Times;Serif"/>
          <w:b w:val="false"/>
          <w:i w:val="false"/>
          <w:caps w:val="false"/>
          <w:smallCaps w:val="false"/>
          <w:sz w:val="20"/>
        </w:rPr>
        <w:t xml:space="preserve"> Version 1.4 featuring new cars, updated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w:t>
      </w:r>
      <w:r>
        <w:rPr>
          <w:rFonts w:ascii="Times New Roman;Times;Serif" w:hAnsi="Times New Roman;Times;Serif"/>
          <w:b w:val="false"/>
          <w:i/>
          <w:caps w:val="false"/>
          <w:smallCaps w:val="false"/>
          <w:sz w:val="20"/>
        </w:rPr>
        <w:t>Le Mans Virtual Series</w:t>
      </w:r>
      <w:r>
        <w:rPr>
          <w:rFonts w:ascii="Times New Roman;Times;Serif" w:hAnsi="Times New Roman;Times;Serif"/>
          <w:b w:val="false"/>
          <w:i w:val="false"/>
          <w:caps w:val="false"/>
          <w:smallCaps w:val="false"/>
          <w:sz w:val="20"/>
        </w:rPr>
        <w:t>. Motorsport Games is building a virtual racing ecosystem where each product drives excitement, every esports event is an adventure, and every race inspires.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Motorsport Games visit: </w:t>
      </w:r>
      <w:r>
        <w:rPr>
          <w:rFonts w:ascii="Times New Roman;Times;Serif" w:hAnsi="Times New Roman;Times;Serif"/>
          <w:b w:val="false"/>
          <w:i w:val="false"/>
          <w:caps w:val="false"/>
          <w:smallCaps w:val="false"/>
          <w:sz w:val="20"/>
          <w:u w:val="single"/>
        </w:rPr>
        <w:t>www.motorsportgames.com.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or information in this press release, the related conference call and webcast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statements concerning the transformation of the business being now consistent and repeatable; and the initial results of the expansion being very promising.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(i) difficulties, delays or less than expected results in achieving the Company’s growth plans and continuing the transformation of the business, objectives and expectations, including delays in the release of new game versions and features, the Company’s inability to deliver new products and/or new content or features for existing products, and/or the Company’s inability, in whole or in part, to continue to execute its business strategies and plans, such as due to less than anticipated customer acceptance of its new game titles and/or less than anticipated benefits from its future technologies, the Company experiencing difficulties or the inability to launch its games as planned, less than anticipated performance of the games impacting customer acceptance and sales and/or greater than anticipated costs and expenses to develop and launch its games, including, without limitation, higher than expected labor costs, the Company’s inability to establish partnerships with additional service providers to come onboard to the Company’s ecosystem and, (ii) difficulties, delays in or unanticipated events that may impact the timing and scope of new or planned products, features, events or other offerings; (iii) less than expected benefits from implementing the Company’s management strategies and/or adverse economic, market and geopolitical conditions that negatively impact industry trends, such as significant changes in the labor markets, an extended or higher than expected inflationary environment, a higher interest rate environment, tax increases impacting consumer discretionary spending and/or quantitative easing that results in higher interest rates that negatively impact consumers’ discretionary spending; and (iv) greater than anticipated negative operating cash flows such as due to higher than expected development costs, higher interest rates and/or higher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other than those referred to above could also cause the Company’s results to differ materially from expected results. Additional examples of such risks and uncertainties include, but are not limited to: (i) the Company’s ability (or inability) to maintain existing, and to secure additional, licenses and other agreements with various racing series; (ii) the Company’s ability to successfully manage and integrate any joint ventures, acquisitions of businesses, solutions or technologies; (iii) unanticipated operating costs, transaction costs and actual or contingent liabilities; (iv) the ability to attract and retain qualified employees and key personnel; (v) adverse effects of increased competition; (vi) changes in consumer behavior, including as a result of general economic factors, such as increased inflation, higher energy prices and higher interest rates; (vii) the Company’s inability to protect its intellectual property; and/or (vii) local, industry and general business and economic conditions.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actual results to differ materially from those expressed or implied in the forward-looking statements can be found in the Company’s filings with the SEC, including its Annual Report on Form 10-K for the fiscal year ended December 31, 2025, subsequent Quarterly Reports on Form 10-Q and current reports on Form 8-K filed with the SEC.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 and Social Media Disclosure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we announce material financial information to our investors using our investor relations website (</w:t>
      </w:r>
      <w:r>
        <w:rPr>
          <w:rFonts w:ascii="Times New Roman;Times;Serif" w:hAnsi="Times New Roman;Times;Serif"/>
          <w:b w:val="false"/>
          <w:i w:val="false"/>
          <w:caps w:val="false"/>
          <w:smallCaps w:val="false"/>
          <w:sz w:val="20"/>
          <w:u w:val="single"/>
        </w:rPr>
        <w:t>ir.motorsportgames.com</w:t>
      </w:r>
      <w:r>
        <w:rPr>
          <w:rFonts w:ascii="Times New Roman;Times;Serif" w:hAnsi="Times New Roman;Times;Serif"/>
          <w:b w:val="false"/>
          <w:i w:val="false"/>
          <w:caps w:val="false"/>
          <w:smallCaps w:val="false"/>
          <w:sz w:val="20"/>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1820"/>
        <w:gridCol w:w="60"/>
        <w:gridCol w:w="2450"/>
      </w:tblGrid>
      <w:tr>
        <w:trPr/>
        <w:tc>
          <w:tcPr>
            <w:tcW w:w="18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Social Media </w:t>
            </w:r>
          </w:p>
        </w:tc>
      </w:tr>
      <w:tr>
        <w:trPr/>
        <w:tc>
          <w:tcPr>
            <w:tcW w:w="182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motorsportgames.com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Twitter: </w:t>
            </w:r>
            <w:r>
              <w:rPr>
                <w:rFonts w:ascii="Times New Roman;Times;Serif" w:hAnsi="Times New Roman;Times;Serif"/>
                <w:b w:val="false"/>
                <w:i/>
                <w:caps w:val="false"/>
                <w:smallCaps w:val="false"/>
                <w:sz w:val="20"/>
                <w:u w:val="single"/>
              </w:rPr>
              <w:t>@msportgames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Instagram: </w:t>
            </w:r>
            <w:r>
              <w:rPr>
                <w:rFonts w:ascii="Times New Roman;Times;Serif" w:hAnsi="Times New Roman;Times;Serif"/>
                <w:b w:val="false"/>
                <w:i/>
                <w:caps w:val="false"/>
                <w:smallCaps w:val="false"/>
                <w:sz w:val="20"/>
                <w:u w:val="single"/>
              </w:rPr>
              <w:t>msportgames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Facebook: </w:t>
            </w:r>
            <w:r>
              <w:rPr>
                <w:rFonts w:ascii="Times New Roman;Times;Serif" w:hAnsi="Times New Roman;Times;Serif"/>
                <w:b w:val="false"/>
                <w:i/>
                <w:caps w:val="false"/>
                <w:smallCaps w:val="false"/>
                <w:sz w:val="20"/>
                <w:u w:val="single"/>
              </w:rPr>
              <w:t>Motorsport Games</w:t>
            </w:r>
          </w:p>
        </w:tc>
      </w:tr>
      <w:tr>
        <w:trPr/>
        <w:tc>
          <w:tcPr>
            <w:tcW w:w="18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LinkedIn: </w:t>
            </w:r>
            <w:r>
              <w:rPr>
                <w:rFonts w:ascii="Times New Roman;Times;Serif" w:hAnsi="Times New Roman;Times;Serif"/>
                <w:b w:val="false"/>
                <w:i/>
                <w:caps w:val="false"/>
                <w:smallCaps w:val="false"/>
                <w:sz w:val="20"/>
                <w:u w:val="single"/>
              </w:rPr>
              <w:t>Motorsport Games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these websites and social media channels are not part of, nor will they be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Investors@motorsportgames.com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PR@motorsportgames.com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provide reconciliations between net income and adjusted EBITDA, and diluted net income per share and Non-GAAP Adjusted diluted net income per share:</w:t>
      </w:r>
    </w:p>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75"/>
        <w:gridCol w:w="60"/>
        <w:gridCol w:w="186"/>
        <w:gridCol w:w="1063"/>
        <w:gridCol w:w="60"/>
        <w:gridCol w:w="60"/>
        <w:gridCol w:w="146"/>
        <w:gridCol w:w="1103"/>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243,199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4,238,172</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15,891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4,740</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Depreciation and amortization (1)</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237,050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253,935</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496,140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4,496,847</w:t>
            </w:r>
          </w:p>
        </w:tc>
        <w:tc>
          <w:tcPr>
            <w:tcW w:w="11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(800,000</w:t>
            </w:r>
          </w:p>
        </w:tc>
        <w:tc>
          <w:tcPr>
            <w:tcW w:w="11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Loss (gain) on foreign exchange rates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225,675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(2,328,115</w:t>
            </w:r>
          </w:p>
        </w:tc>
        <w:tc>
          <w:tcPr>
            <w:tcW w:w="110" w:type="dxa"/>
            <w:tcBorders/>
            <w:shd w:fill="FFFFFF" w:val="clear"/>
            <w:vAlign w:val="center"/>
          </w:tcPr>
          <w:p>
            <w:pPr>
              <w:pStyle w:val="TableContents"/>
              <w:bidi w:val="0"/>
              <w:spacing w:before="0" w:after="283"/>
              <w:jc w:val="left"/>
              <w:rPr/>
            </w:pPr>
            <w:r>
              <w:rPr/>
              <w:t>)</w:t>
            </w:r>
          </w:p>
        </w:tc>
      </w:tr>
      <w:tr>
        <w:trPr/>
        <w:tc>
          <w:tcPr>
            <w:tcW w:w="387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37,644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jc w:val="right"/>
              <w:rPr/>
            </w:pPr>
            <w:r>
              <w:rPr/>
              <w:t>759,459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1,368,732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$229,739 and $242,238 of amortization expenses included in cost of revenues for the three months ended June 30, 2026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GAAP and Non-GAAP Adjusted diluted net income per share:</w:t>
      </w:r>
    </w:p>
    <w:p>
      <w:pPr>
        <w:pStyle w:val="TextBody"/>
        <w:bidi w:val="0"/>
        <w:spacing w:before="0" w:after="0"/>
        <w:ind w:left="0" w:right="0" w:hanging="0"/>
        <w:jc w:val="both"/>
        <w:rPr>
          <w:caps w:val="false"/>
          <w:smallCaps w:val="false"/>
        </w:rPr>
      </w:pPr>
      <w:r>
        <w:rPr>
          <w:caps w:val="false"/>
          <w:smallCaps w:val="false"/>
        </w:rPr>
        <w:t> </w:t>
      </w:r>
    </w:p>
    <w:tbl>
      <w:tblPr>
        <w:tblW w:w="7624" w:type="dxa"/>
        <w:jc w:val="left"/>
        <w:tblInd w:w="0" w:type="dxa"/>
        <w:tblLayout w:type="fixed"/>
        <w:tblCellMar>
          <w:top w:w="0" w:type="dxa"/>
          <w:left w:w="0" w:type="dxa"/>
          <w:bottom w:w="0" w:type="dxa"/>
          <w:right w:w="0" w:type="dxa"/>
        </w:tblCellMar>
      </w:tblPr>
      <w:tblGrid>
        <w:gridCol w:w="4835"/>
        <w:gridCol w:w="60"/>
        <w:gridCol w:w="300"/>
        <w:gridCol w:w="950"/>
        <w:gridCol w:w="60"/>
        <w:gridCol w:w="60"/>
        <w:gridCol w:w="267"/>
        <w:gridCol w:w="982"/>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w:t>
              <w:b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Diluted net income per share</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0.82</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0.05</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(0.17</w:t>
            </w:r>
          </w:p>
        </w:tc>
        <w:tc>
          <w:tcPr>
            <w:tcW w:w="11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Loss (gain) on foreign exchange rates</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(0.45</w:t>
            </w:r>
          </w:p>
        </w:tc>
        <w:tc>
          <w:tcPr>
            <w:tcW w:w="11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Non-GAAP Adjusted diluted net income per share</w:t>
            </w:r>
          </w:p>
        </w:tc>
        <w:tc>
          <w:tcPr>
            <w:tcW w:w="60"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pPr>
            <w:r>
              <w:rPr/>
              <w:t>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0.25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5300"/>
        <w:gridCol w:w="60"/>
        <w:gridCol w:w="193"/>
        <w:gridCol w:w="1356"/>
        <w:gridCol w:w="60"/>
        <w:gridCol w:w="60"/>
        <w:gridCol w:w="181"/>
        <w:gridCol w:w="1368"/>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356" w:type="dxa"/>
            <w:tcBorders/>
            <w:shd w:fill="CCEEFF" w:val="clear"/>
            <w:vAlign w:val="center"/>
          </w:tcPr>
          <w:p>
            <w:pPr>
              <w:pStyle w:val="TableContents"/>
              <w:bidi w:val="0"/>
              <w:spacing w:before="0" w:after="283"/>
              <w:jc w:val="right"/>
              <w:rPr/>
            </w:pPr>
            <w:r>
              <w:rPr/>
              <w:t>1,194,772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368" w:type="dxa"/>
            <w:tcBorders/>
            <w:shd w:fill="CCEEFF" w:val="clear"/>
            <w:vAlign w:val="center"/>
          </w:tcPr>
          <w:p>
            <w:pPr>
              <w:pStyle w:val="TableContents"/>
              <w:bidi w:val="0"/>
              <w:spacing w:before="0" w:after="283"/>
              <w:jc w:val="right"/>
              <w:rPr/>
            </w:pPr>
            <w:r>
              <w:rPr/>
              <w:t>5,260,785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19,096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17,750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Depreciation and amortization (1)</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413,099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pPr>
            <w:r>
              <w:rPr/>
              <w:t>505,992</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1,626,967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5,784,527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Gain from settlement of purchase commitment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(175,460</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Gain from HC2 Holdings 2 Inc. Settlement Agreement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(500,000</w:t>
            </w:r>
          </w:p>
        </w:tc>
        <w:tc>
          <w:tcPr>
            <w:tcW w:w="11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left"/>
              <w:rPr/>
            </w:pPr>
            <w:r>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(800,000</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27,928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Loss (gain) on foreign exchange rates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173,666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(3,302,878</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pPr>
            <w:r>
              <w:rPr/>
              <w:t>412,675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6" w:type="dxa"/>
            <w:tcBorders>
              <w:bottom w:val="double" w:sz="6" w:space="0" w:color="000000"/>
            </w:tcBorders>
            <w:shd w:fill="CCEEFF" w:val="clear"/>
            <w:tcMar>
              <w:bottom w:w="28" w:type="dxa"/>
            </w:tcMar>
            <w:vAlign w:val="center"/>
          </w:tcPr>
          <w:p>
            <w:pPr>
              <w:pStyle w:val="TableContents"/>
              <w:bidi w:val="0"/>
              <w:spacing w:before="0" w:after="283"/>
              <w:jc w:val="right"/>
              <w:rPr/>
            </w:pPr>
            <w:r>
              <w:rPr/>
              <w:t>2,241,236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8" w:type="dxa"/>
            <w:tcBorders>
              <w:bottom w:val="double" w:sz="6" w:space="0" w:color="000000"/>
            </w:tcBorders>
            <w:shd w:fill="CCEEFF" w:val="clear"/>
            <w:tcMar>
              <w:bottom w:w="28" w:type="dxa"/>
            </w:tcMar>
            <w:vAlign w:val="center"/>
          </w:tcPr>
          <w:p>
            <w:pPr>
              <w:pStyle w:val="TableContents"/>
              <w:bidi w:val="0"/>
              <w:spacing w:before="0" w:after="283"/>
              <w:jc w:val="right"/>
              <w:rPr/>
            </w:pPr>
            <w:r>
              <w:rPr/>
              <w:t>1,006,189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$399,271 and $476,169 of amortization expenses included in cost of revenues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between GAAP and Non-GAAP Adjusted diluted net income per share:</w:t>
      </w:r>
    </w:p>
    <w:p>
      <w:pPr>
        <w:pStyle w:val="TextBody"/>
        <w:bidi w:val="0"/>
        <w:spacing w:before="0" w:after="0"/>
        <w:ind w:left="0" w:right="0" w:hanging="0"/>
        <w:jc w:val="left"/>
        <w:rPr>
          <w:caps w:val="false"/>
          <w:smallCaps w:val="false"/>
        </w:rPr>
      </w:pPr>
      <w:r>
        <w:rPr>
          <w:caps w:val="false"/>
          <w:smallCaps w:val="false"/>
        </w:rPr>
        <w:t> </w:t>
      </w:r>
    </w:p>
    <w:tbl>
      <w:tblPr>
        <w:tblW w:w="8689" w:type="dxa"/>
        <w:jc w:val="left"/>
        <w:tblInd w:w="0" w:type="dxa"/>
        <w:tblLayout w:type="fixed"/>
        <w:tblCellMar>
          <w:top w:w="0" w:type="dxa"/>
          <w:left w:w="0" w:type="dxa"/>
          <w:bottom w:w="0" w:type="dxa"/>
          <w:right w:w="0" w:type="dxa"/>
        </w:tblCellMar>
      </w:tblPr>
      <w:tblGrid>
        <w:gridCol w:w="5300"/>
        <w:gridCol w:w="60"/>
        <w:gridCol w:w="372"/>
        <w:gridCol w:w="1178"/>
        <w:gridCol w:w="60"/>
        <w:gridCol w:w="60"/>
        <w:gridCol w:w="331"/>
        <w:gridCol w:w="1218"/>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Diluted net income per share</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0.12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Gain from settlement of purchase commitment liabilities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(0.04</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Gain from HC2 Holdings 2 Inc. Settlement Agreement</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(0.12</w:t>
            </w:r>
          </w:p>
        </w:tc>
        <w:tc>
          <w:tcPr>
            <w:tcW w:w="110" w:type="dxa"/>
            <w:tcBorders/>
            <w:shd w:fill="FFFFFF" w:val="clear"/>
            <w:vAlign w:val="center"/>
          </w:tcPr>
          <w:p>
            <w:pPr>
              <w:pStyle w:val="TableContents"/>
              <w:bidi w:val="0"/>
              <w:spacing w:before="0" w:after="283"/>
              <w:jc w:val="left"/>
              <w:rPr/>
            </w:pPr>
            <w:r>
              <w:rPr/>
              <w:t>)</w:t>
            </w:r>
          </w:p>
        </w:tc>
      </w:tr>
      <w:tr>
        <w:trPr/>
        <w:tc>
          <w:tcPr>
            <w:tcW w:w="5300" w:type="dxa"/>
            <w:tcBorders/>
            <w:shd w:fill="CCEEFF" w:val="clear"/>
            <w:vAlign w:val="center"/>
          </w:tcPr>
          <w:p>
            <w:pPr>
              <w:pStyle w:val="TableContents"/>
              <w:bidi w:val="0"/>
              <w:spacing w:before="0" w:after="283"/>
              <w:jc w:val="left"/>
              <w:rPr/>
            </w:pPr>
            <w:r>
              <w:rPr/>
              <w:t>Gain from Wesco Settlement Agreement</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(0.19</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Loss (gain) on foreign exchange rates</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(0.79</w:t>
            </w:r>
          </w:p>
        </w:tc>
        <w:tc>
          <w:tcPr>
            <w:tcW w:w="110" w:type="dxa"/>
            <w:tcBorders/>
            <w:shd w:fill="CCEEFF" w:val="clear"/>
            <w:vAlign w:val="center"/>
          </w:tcPr>
          <w:p>
            <w:pPr>
              <w:pStyle w:val="TableContents"/>
              <w:bidi w:val="0"/>
              <w:spacing w:before="0" w:after="283"/>
              <w:jc w:val="left"/>
              <w:rPr/>
            </w:pPr>
            <w:r>
              <w:rPr/>
              <w:t>)</w:t>
            </w:r>
          </w:p>
        </w:tc>
      </w:tr>
      <w:tr>
        <w:trPr/>
        <w:tc>
          <w:tcPr>
            <w:tcW w:w="530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3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Non-GAAP Adjusted diluted net income per share</w:t>
            </w:r>
          </w:p>
        </w:tc>
        <w:tc>
          <w:tcPr>
            <w:tcW w:w="60" w:type="dxa"/>
            <w:tcBorders/>
            <w:shd w:fill="CCEEFF" w:val="clear"/>
            <w:vAlign w:val="center"/>
          </w:tcPr>
          <w:p>
            <w:pPr>
              <w:pStyle w:val="TableContents"/>
              <w:bidi w:val="0"/>
              <w:spacing w:before="0" w:after="283"/>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pPr>
            <w:r>
              <w:rPr/>
              <w:t>0.24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comparative summary of the Company’s financial results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b/>
              </w:rPr>
            </w:pPr>
            <w:r>
              <w:rPr>
                <w:b/>
              </w:rPr>
              <w:t>Revenues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3,539,962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2,591,840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7,571,251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4,350,293</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644,428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454,887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1,161,565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920,273</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2,895,534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2,136,953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6,409,686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3,430,020</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126,307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401,669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224,008</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737,228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1,251,565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872,296</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General and administrative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1,321,381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865,040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3,020,012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2,033,522</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29,823</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2,257,270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1,273,387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4,715,001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3,159,649</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Other 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1,104,497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1,604,497</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638,264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1,968,063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1,694,685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1,874,868</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(19,096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(17,750</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(379,174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2,274,849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(480,817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3,403,667</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243,199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4,238,172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1,194,772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5,260,785</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Less: Net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(158,264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(20,228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477,482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(38,673</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b/>
              </w:rPr>
            </w:pPr>
            <w:r>
              <w:rPr>
                <w:b/>
              </w:rPr>
              <w:t>Net income attributable to Motorsport Games Inc.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401,463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4,258,400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717,290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5,299,458</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Net income attributable to Class A common stock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Weighted-average shares of Class A common stock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Basic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4,760,598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5,206,536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5,106,520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4,195,047</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5,255,013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5,206,536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5,570,953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4,195,047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revenues of $11,000 and $0 for the six months ended June 30, 2026 and 2025, respectively. No related party revenue was recorded for the three months ended June 30, 2026 or 2025.</w:t>
            </w:r>
          </w:p>
          <w:p>
            <w:pPr>
              <w:pStyle w:val="TableContents"/>
              <w:bidi w:val="0"/>
              <w:spacing w:before="0" w:after="0"/>
              <w:ind w:left="0" w:right="0" w:hanging="0"/>
              <w:jc w:val="both"/>
              <w:rPr>
                <w:caps w:val="false"/>
                <w:smallCaps w:val="false"/>
              </w:rPr>
            </w:pPr>
            <w:r>
              <w:rPr>
                <w:caps w:val="false"/>
                <w:smallCaps w:val="false"/>
              </w:rPr>
              <w:t> </w:t>
            </w:r>
          </w:p>
        </w:tc>
      </w:tr>
      <w:tr>
        <w:trPr/>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expenses of $0 and $37,500 for the three months ended June 30, 2026 and 2025, respectively, and $0 and $75,000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60"/>
        <w:gridCol w:w="42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weighed average pre-funded warrant shares.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pPr>
      <w:bookmarkStart w:id="30" w:name="ex99-2.htm"/>
      <w:bookmarkStart w:id="31" w:name="ksex992"/>
      <w:bookmarkEnd w:id="30"/>
      <w:bookmarkEnd w:id="31"/>
      <w:r>
        <w:rPr/>
        <w:t> </w:t>
      </w:r>
      <w:r>
        <w:br w:type="page"/>
      </w:r>
    </w:p>
    <w:p>
      <w:pPr>
        <w:pStyle w:val="TextBody"/>
        <w:bidi w:val="0"/>
        <w:jc w:val="right"/>
        <w:rPr>
          <w:b/>
        </w:rPr>
      </w:pPr>
      <w:r>
        <w:rPr>
          <w:b/>
        </w:rPr>
        <w:t>Exhibit 99.2</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pPr>
      <w:r>
        <w:rPr/>
        <w:t> </w:t>
      </w:r>
    </w:p>
    <w:p>
      <w:pPr>
        <w:pStyle w:val="TextBody"/>
        <w:bidi w:val="0"/>
        <w:jc w:val="center"/>
        <w:rPr/>
      </w:pPr>
      <w:r>
        <w:rPr/>
        <w:drawing>
          <wp:inline distT="0" distB="0" distL="0" distR="0">
            <wp:extent cx="10058400" cy="56603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58400" cy="5660390"/>
                    </a:xfrm>
                    <a:prstGeom prst="rect">
                      <a:avLst/>
                    </a:prstGeom>
                  </pic:spPr>
                </pic:pic>
              </a:graphicData>
            </a:graphic>
          </wp:inline>
        </w:drawing>
      </w:r>
    </w:p>
    <w:p>
      <w:pPr>
        <w:pStyle w:val="TextBody"/>
        <w:bidi w:val="0"/>
        <w:jc w:val="righ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4510</Words>
  <Characters>25019</Characters>
  <CharactersWithSpaces>29862</CharactersWithSpaces>
  <Paragraphs>1205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