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left"/>
        <w:rPr>
          <w:caps w:val="false"/>
          <w:smallCaps w:val="false"/>
        </w:rPr>
      </w:pPr>
      <w:bookmarkStart w:id="0" w:name="forms-8.htm"/>
      <w:bookmarkStart w:id="1" w:name="ksforms8"/>
      <w:bookmarkEnd w:id="0"/>
      <w:bookmarkEnd w:id="1"/>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April 30,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pBdr/>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righ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FORM S-8</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UNDER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SECURITIES ACT OF 1933</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36"/>
        </w:rPr>
        <w:t>Motorsport Games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36"/>
        </w:rPr>
        <w:t>INC.</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795"/>
        <w:gridCol w:w="1910"/>
      </w:tblGrid>
      <w:tr>
        <w:trPr/>
        <w:tc>
          <w:tcPr>
            <w:tcW w:w="27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19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86-1791356</w:t>
            </w:r>
          </w:p>
        </w:tc>
      </w:tr>
      <w:tr>
        <w:trPr/>
        <w:tc>
          <w:tcPr>
            <w:tcW w:w="2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(State or other jurisdiction </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of incorporation or organization)</w:t>
            </w:r>
          </w:p>
        </w:tc>
        <w:tc>
          <w:tcPr>
            <w:tcW w:w="19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(I.R.S. Employer </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Identification Number)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3350 SW 148th Avenue, Suite 207</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Miramar, FL 33027</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(305) 413-0812</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(Address, including ZIP code, and telephone number, including</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area code, of registrant’s principal executive office)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Motorsport Games Inc. 2021 Equity Incentive Plan</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(Full title of the Plan)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Stephen Hood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President and Chief Executive Officer</w:t>
        <w:br/>
        <w:t>3350 SW 148th Avenue, Suite 207</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Miramar, FL 33027</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(305) 413-0812</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(Name, address and telephone number of agent for service)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Leslie Marlow, Esq.</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Blank Rome LLP</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1271 Avenue of the Americas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New York, New York 10020</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(212) 885-5000</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(Name, address and telephone number)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pBdr/>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2045"/>
        <w:gridCol w:w="2465"/>
      </w:tblGrid>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rPr>
      </w:pPr>
      <w:r>
        <w:rPr>
          <w:caps/>
        </w:rPr>
        <w:t> </w:t>
      </w:r>
    </w:p>
    <w:p>
      <w:pPr>
        <w:pStyle w:val="TextBody"/>
        <w:pBd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EXPLANATORY NOTE</w:t>
      </w:r>
    </w:p>
    <w:p>
      <w:pPr>
        <w:pStyle w:val="TextBody"/>
        <w:pBdr/>
        <w:bidi w:val="0"/>
        <w:spacing w:before="0" w:after="0"/>
        <w:ind w:left="0" w:right="0" w:hanging="0"/>
        <w:jc w:val="center"/>
        <w:rPr>
          <w:caps/>
        </w:rPr>
      </w:pPr>
      <w:r>
        <w:rPr>
          <w:caps/>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 (the “Registrant” or the “Company”) previously filed with the Securities and Exchange Commission (the “Commission”) a Registration Statement on Form S-8 (Registration No. 333-252054) filed on January 12, 2021 (the “Previous Registration Statement”) registering 1,000,000 shares of its Class A common stock, par value $0.0001 per share (the “Common Stock”) (100,000 shares after adjusting to give effect to the reverse stock split effected by the Company on November 10, 2022, of its outstanding shares of Common Stock at a ratio of 1-for-10), to be offered and sold under the Registrant’s Amended and Restated 2021 Equity Incentive Plan (hereinafter referred to as the “Plan”). Pursuant to General Instruction E to Form S-8, the contents of the Previous Registration Statement are incorporated into this Registration Statement on Form S-8 by reference.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filing this Registration Statement on Form S-8 (the “Registration Statement”) to register an additional 500,000 shares of Common Stock that were added to the Plan by a vote of the Registrant’s Board of Directors and the Registrant’s stockholders at the Registrant’s 2026 Annual Meeting of Stockholders, which was held on April 23, 2026. These additional 500,000 shares of Common Stock were added pursuant to the adoption of an Amendment to the Plan, dated April 23, 2026 (the “Amendment”). The aggregate number of shares of Common Stock that may be issued under the Plan, as amended, after the adoption of the Amendment, is 600,000 shares.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w:t>
        <w:br/>
        <w:br/>
        <w:t>INFORMATION REQUIRED IN THE SECTION 10(a) PROSPECTUS</w:t>
      </w:r>
    </w:p>
    <w:p>
      <w:pPr>
        <w:pStyle w:val="TextBody"/>
        <w:pBdr/>
        <w:bidi w:val="0"/>
        <w:spacing w:before="0" w:after="0"/>
        <w:ind w:left="0" w:right="0" w:hanging="0"/>
        <w:jc w:val="center"/>
        <w:rPr>
          <w:caps/>
        </w:rPr>
      </w:pPr>
      <w:r>
        <w:rPr>
          <w:caps/>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Item 1 and Item 2 of Part I of this Registration Statement on Form S-8 is omitted from this filing in accordance with the provisions of Rule 428 under the Securities Act of 1933, as amended (the “Securities Act”), and the introductory note to Part I of Form S-8. The documents containing the information specified in Part I will be delivered to the participants in the Plan as required by Rule 428. Such documents and the documents incorporated by reference in this Registration Statement pursuant to Item 3 of Part II of this Registration Statement, taken together, constitute a prospectus that meets the requirements of Section 10(a) of the Securities Act.</w:t>
      </w:r>
    </w:p>
    <w:p>
      <w:pPr>
        <w:pStyle w:val="TextBody"/>
        <w:pBd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br/>
        <w:br/>
        <w:t>INFORMATION REQUIRED IN THE REGISTRATION STATEMENT</w:t>
      </w:r>
    </w:p>
    <w:p>
      <w:pPr>
        <w:pStyle w:val="TextBody"/>
        <w:pBdr/>
        <w:bidi w:val="0"/>
        <w:spacing w:before="0" w:after="0"/>
        <w:ind w:left="0" w:right="0" w:hanging="0"/>
        <w:jc w:val="center"/>
        <w:rPr>
          <w:caps/>
        </w:rPr>
      </w:pPr>
      <w:r>
        <w:rPr>
          <w:caps/>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pBdr/>
        <w:bidi w:val="0"/>
        <w:spacing w:before="0" w:after="0"/>
        <w:ind w:left="1080" w:right="0" w:hanging="108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are incorporated herein by reference:</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Commission on March 10, 2026 (File No. 001-39868);</w:t>
            </w:r>
          </w:p>
        </w:tc>
      </w:tr>
    </w:tbl>
    <w:p>
      <w:pPr>
        <w:pStyle w:val="TextBody"/>
        <w:pBd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Current Reports on Form 8-K filed with the Commission on </w:t>
            </w:r>
            <w:hyperlink r:id="rId3">
              <w:r>
                <w:rPr>
                  <w:rStyle w:val="InternetLink"/>
                  <w:rFonts w:ascii="Times New Roman;Times;Serif" w:hAnsi="Times New Roman;Times;Serif"/>
                  <w:b w:val="false"/>
                  <w:i w:val="false"/>
                  <w:caps w:val="false"/>
                  <w:smallCaps w:val="false"/>
                  <w:sz w:val="20"/>
                </w:rPr>
                <w:t>February 25, 2026</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April 2,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April 17,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April 21,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April 23, 2026</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April 24, 2026</w:t>
              </w:r>
            </w:hyperlink>
            <w:r>
              <w:rPr>
                <w:rFonts w:ascii="Times New Roman;Times;Serif" w:hAnsi="Times New Roman;Times;Serif"/>
                <w:b w:val="false"/>
                <w:i w:val="false"/>
                <w:caps w:val="false"/>
                <w:smallCaps w:val="false"/>
                <w:sz w:val="20"/>
              </w:rPr>
              <w:t xml:space="preserve"> (File No. 001-39868);</w:t>
            </w:r>
          </w:p>
        </w:tc>
      </w:tr>
    </w:tbl>
    <w:p>
      <w:pPr>
        <w:pStyle w:val="TextBody"/>
        <w:pBd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Definitive Proxy Statement on </w:t>
            </w:r>
            <w:hyperlink r:id="rId9">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filed with the Commission on March 16, 2026 (File No. 001-39868); and</w:t>
            </w:r>
          </w:p>
        </w:tc>
      </w:tr>
    </w:tbl>
    <w:p>
      <w:pPr>
        <w:pStyle w:val="TextBody"/>
        <w:pBd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Registrant’s Common Stock set forth in (i) its registration statement on </w:t>
            </w:r>
            <w:hyperlink r:id="rId10">
              <w:r>
                <w:rPr>
                  <w:rStyle w:val="InternetLink"/>
                  <w:rFonts w:ascii="Times New Roman;Times;Serif" w:hAnsi="Times New Roman;Times;Serif"/>
                  <w:b w:val="false"/>
                  <w:i w:val="false"/>
                  <w:caps w:val="false"/>
                  <w:smallCaps w:val="false"/>
                  <w:sz w:val="20"/>
                </w:rPr>
                <w:t>Form 8-A12B</w:t>
              </w:r>
            </w:hyperlink>
            <w:r>
              <w:rPr>
                <w:rFonts w:ascii="Times New Roman;Times;Serif" w:hAnsi="Times New Roman;Times;Serif"/>
                <w:b w:val="false"/>
                <w:i w:val="false"/>
                <w:caps w:val="false"/>
                <w:smallCaps w:val="false"/>
                <w:sz w:val="20"/>
              </w:rPr>
              <w:t xml:space="preserve">, filed with the SEC on January 7, 2021 (File No. 001-39868) and (ii) </w:t>
            </w:r>
            <w:hyperlink r:id="rId11">
              <w:r>
                <w:rPr>
                  <w:rStyle w:val="InternetLink"/>
                  <w:rFonts w:ascii="Times New Roman;Times;Serif" w:hAnsi="Times New Roman;Times;Serif"/>
                  <w:b w:val="false"/>
                  <w:i w:val="false"/>
                  <w:caps w:val="false"/>
                  <w:smallCaps w:val="false"/>
                  <w:sz w:val="20"/>
                </w:rPr>
                <w:t>Exhibit 4.2</w:t>
              </w:r>
            </w:hyperlink>
            <w:r>
              <w:rPr>
                <w:rFonts w:ascii="Times New Roman;Times;Serif" w:hAnsi="Times New Roman;Times;Serif"/>
                <w:b w:val="false"/>
                <w:i w:val="false"/>
                <w:caps w:val="false"/>
                <w:smallCaps w:val="false"/>
                <w:sz w:val="20"/>
              </w:rPr>
              <w:t xml:space="preserve"> to its Annual Report on Form 10-K for the fiscal year ended December 31, 2025 filed with the Commission on March 10, 2026 (File No. 001-39868) entitled “Description of Motorsport Games Inc.’s Securities Registered under Section 12 of the Exchange Act.”</w:t>
            </w:r>
          </w:p>
        </w:tc>
      </w:tr>
    </w:tbl>
    <w:p>
      <w:pPr>
        <w:pStyle w:val="TextBody"/>
        <w:pBdr/>
        <w:bidi w:val="0"/>
        <w:spacing w:before="0" w:after="0"/>
        <w:ind w:left="720" w:right="0" w:hanging="36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reports and documents subsequently filed by the Registrant pursuant to Sections 13(a), 13(c), 14 or 15(d) of the Securities Exchange Act of 1934, as amended (the “Exchange Act”) (other than Current Reports furnished under Item 2.02 or Item 7.01 of Form 8-K and exhibits furnished on such form that relate to such items) shall be deemed to be incorporated by reference in this Registration Statement and to be a part of this Registration Statement from the respective date of filing of each of those reports or documents until the filing of a post-effective amendment to this Registration Statement which indicates either that all securities offered by this Registration Statement have been sold or which deregisters all of the securities under this Registration Statement then remaining unsold.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Registration Statement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that statement. Any statement so modified or superseded shall not be deemed, except as so modified or superseded, to constitute a part of this Registration Statement.</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pBdr/>
        <w:bidi w:val="0"/>
        <w:spacing w:before="0" w:after="0"/>
        <w:ind w:left="1080" w:right="0" w:hanging="108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pBdr/>
        <w:bidi w:val="0"/>
        <w:spacing w:before="0" w:after="0"/>
        <w:ind w:left="1080" w:right="0" w:hanging="108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pBdr/>
        <w:bidi w:val="0"/>
        <w:spacing w:before="0" w:after="0"/>
        <w:ind w:left="1080" w:right="0" w:hanging="108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authorizes and empowers a Delaware corporation to indemnify its directors, officers, employees and agents against liabilities incurred in connection with, and related expenses resulting from, any claim, action or suit brought against any such person as a result of his or her relationship with the corporation, provided that such persons acted in good faith and in a manner such person reasonably believed to be in, and not opposed to, the best interests of the corporation in connection with the acts or events on which such claim, action or suit is based. Section 145 of the DGCL also authorizes corporations to purchase and maintain insurance on behalf of such persons so indemnified. The finding of either civil or criminal liability on the part of such person in connection with such acts or events is not necessarily determinative of the question of whether such person has met the required standard of conduct and is, accordingly, entitled to be indemnified.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enables a corporation in its certificate of incorporation or an amendment thereto to eliminate or limit the personal liability of a director to the corporation or its stockholders of monetary damages for violations of the directors’ fiduciary duty of care, except (i) for any breach of the director’s duty of loyalty to the corporation or its stockholders, (ii) for acts or omissions not in good faith or that involve intentional misconduct or a knowing violation of law, (iii) pursuant to Section 174 of the DGCL (providing for liability of directors for unlawful payment of dividends or unlawful stock purchases or redemptions) or (iv) for any transaction from which a director derived an improper personal benefit.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Certificate of Incorporation, as amended (the “charter”), provides that, to the extent permitted by applicable law, the registrant’s directors shall not be personally liable to the registrant or its stockholders for monetary damages for any breach of fiduciary duty as directors of the registrant. The charter eliminates the personal liability of directors to the fullest extent permitted by the DGCL. The Company’s Bylaws, as amended (the “bylaws”) provide that each person who was or is made a party or is threatened to be made a party to or is involved in any action, suit or proceeding, whether civil, criminal, administrative or investigative, by reason of the fact that he or she, or a person of whom he or she is the legal representative, is or was a director or officer of the registrant shall be indemnified and held harmless by the registrant to the fullest extent authorized by the DGCL, against all costs, charges, expenses, liabilities and losses (including attorneys’ fees, judgments, fines, ERISA excise taxes or penalties and amounts paid or to be paid in settlement) reasonably incurred or suffered by such person in connection therewith, and such indemnification shall continue as to a person who has ceased to be a director or officer and shall inure to the benefit of his or her heirs, executors and personal or legal representatives. The Company has also obtained liability insurance for its officers and directors and has entered into indemnification agreements with its directors and officers.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statements are subject to the provisions of Sections 145 and 102(b)(7) of the DGCL, the Company’s bylaws and the Company’s charter, which bylaws and charter have been filed as exhibits to this registration statement.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this indemnification is against public policy as expressed in the Securities Act and is therefore unenforceable.</w:t>
      </w:r>
    </w:p>
    <w:p>
      <w:pPr>
        <w:pStyle w:val="TextBody"/>
        <w:pBd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pBdr/>
        <w:bidi w:val="0"/>
        <w:spacing w:before="0" w:after="0"/>
        <w:ind w:left="1080" w:right="0" w:hanging="108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pBdr/>
        <w:bidi w:val="0"/>
        <w:spacing w:before="0" w:after="0"/>
        <w:ind w:left="1080" w:right="0" w:hanging="108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and incorporated herein by reference.</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pBdr/>
        <w:bidi w:val="0"/>
        <w:spacing w:before="0" w:after="0"/>
        <w:ind w:left="1080" w:right="0" w:hanging="108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pBdr/>
        <w:bidi w:val="0"/>
        <w:spacing w:before="0" w:after="0"/>
        <w:ind w:left="720" w:right="0" w:hanging="54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w:t>
            </w:r>
          </w:p>
        </w:tc>
      </w:tr>
    </w:tbl>
    <w:p>
      <w:pPr>
        <w:pStyle w:val="TextBody"/>
        <w:pBdr/>
        <w:bidi w:val="0"/>
        <w:spacing w:before="0" w:after="0"/>
        <w:ind w:left="126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w:t>
            </w:r>
          </w:p>
        </w:tc>
      </w:tr>
    </w:tbl>
    <w:p>
      <w:pPr>
        <w:pStyle w:val="TextBody"/>
        <w:pBdr/>
        <w:bidi w:val="0"/>
        <w:spacing w:before="0" w:after="0"/>
        <w:ind w:left="126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this registration statement;</w:t>
            </w:r>
          </w:p>
        </w:tc>
      </w:tr>
    </w:tbl>
    <w:p>
      <w:pPr>
        <w:pStyle w:val="TextBody"/>
        <w:pBdr/>
        <w:bidi w:val="0"/>
        <w:spacing w:before="0" w:after="0"/>
        <w:ind w:left="1260" w:right="0" w:hanging="540"/>
        <w:jc w:val="both"/>
        <w:rPr>
          <w:caps w:val="false"/>
          <w:smallCaps w:val="false"/>
        </w:rPr>
      </w:pPr>
      <w:r>
        <w:rPr>
          <w:caps w:val="false"/>
          <w:smallCaps w:val="false"/>
        </w:rPr>
        <w:t> </w:t>
      </w:r>
    </w:p>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(1)(i) and (1)(ii) of this section do not apply if the information required to be included in a post-effective amendment by those paragraphs is contained in reports filed with or furnished to the Securities Exchange Commission by the Registrant pursuant to Section 13 or Section 15(d) of the Exchange Act that are incorporated by reference in the registration statement.</w:t>
      </w:r>
    </w:p>
    <w:p>
      <w:pPr>
        <w:pStyle w:val="TextBody"/>
        <w:pBdr/>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bl>
    <w:p>
      <w:pPr>
        <w:pStyle w:val="TextBody"/>
        <w:pBdr/>
        <w:bidi w:val="0"/>
        <w:spacing w:before="0" w:after="0"/>
        <w:ind w:left="72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pBdr/>
        <w:bidi w:val="0"/>
        <w:spacing w:before="0" w:after="0"/>
        <w:ind w:left="72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bl>
    <w:p>
      <w:pPr>
        <w:pStyle w:val="TextBody"/>
        <w:pBdr/>
        <w:bidi w:val="0"/>
        <w:spacing w:before="0" w:after="0"/>
        <w:ind w:left="72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existing provisions or arrangements whereby the Registrant may indemnify a trustee, officer or controlling person of the Registrant against liabilities arising under the Securities Act,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pBdr/>
        <w:bidi w:val="0"/>
        <w:spacing w:before="0" w:after="0"/>
        <w:ind w:left="720" w:right="0" w:hanging="5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INDEX TO EXHIBITS</w:t>
      </w:r>
    </w:p>
    <w:p>
      <w:pPr>
        <w:pStyle w:val="TextBody"/>
        <w:pBdr/>
        <w:bidi w:val="0"/>
        <w:spacing w:before="0" w:after="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987"/>
        <w:gridCol w:w="60"/>
        <w:gridCol w:w="4485"/>
        <w:gridCol w:w="60"/>
        <w:gridCol w:w="500"/>
        <w:gridCol w:w="60"/>
        <w:gridCol w:w="795"/>
        <w:gridCol w:w="60"/>
        <w:gridCol w:w="972"/>
        <w:gridCol w:w="60"/>
        <w:gridCol w:w="699"/>
        <w:gridCol w:w="60"/>
        <w:gridCol w:w="1407"/>
      </w:tblGrid>
      <w:tr>
        <w:trPr/>
        <w:tc>
          <w:tcPr>
            <w:tcW w:w="9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46"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Filed/Furnished Herewith</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r:id="rId12">
              <w:r>
                <w:rPr>
                  <w:rStyle w:val="InternetLink"/>
                  <w:rFonts w:ascii="Times New Roman;Times;Serif" w:hAnsi="Times New Roman;Times;Serif"/>
                  <w:b w:val="false"/>
                  <w:i w:val="false"/>
                  <w:caps w:val="false"/>
                  <w:smallCaps w:val="false"/>
                  <w:sz w:val="20"/>
                </w:rPr>
                <w:t>Certificate of Incorporation of Motorsport Games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r:id="rId13">
              <w:r>
                <w:rPr>
                  <w:rStyle w:val="InternetLink"/>
                  <w:rFonts w:ascii="Times New Roman;Times;Serif" w:hAnsi="Times New Roman;Times;Serif"/>
                  <w:b w:val="false"/>
                  <w:i w:val="false"/>
                  <w:caps w:val="false"/>
                  <w:smallCaps w:val="false"/>
                  <w:sz w:val="20"/>
                </w:rPr>
                <w:t>Certificate of Amendment to the Certificate of Incorporation of Motorsport Games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r:id="rId14">
              <w:r>
                <w:rPr>
                  <w:rStyle w:val="InternetLink"/>
                  <w:rFonts w:ascii="Times New Roman;Times;Serif" w:hAnsi="Times New Roman;Times;Serif"/>
                  <w:b w:val="false"/>
                  <w:i w:val="false"/>
                  <w:caps w:val="false"/>
                  <w:smallCaps w:val="false"/>
                  <w:sz w:val="20"/>
                </w:rPr>
                <w:t>Bylaws of Motorsport Games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r:id="rId15">
              <w:r>
                <w:rPr>
                  <w:rStyle w:val="InternetLink"/>
                  <w:rFonts w:ascii="Times New Roman;Times;Serif" w:hAnsi="Times New Roman;Times;Serif"/>
                  <w:b w:val="false"/>
                  <w:i w:val="false"/>
                  <w:caps w:val="false"/>
                  <w:smallCaps w:val="false"/>
                  <w:sz w:val="20"/>
                </w:rPr>
                <w:t>Amendment No. 1 to the Bylaws of Motorsport Games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r:id="rId16">
              <w:r>
                <w:rPr>
                  <w:rStyle w:val="InternetLink"/>
                  <w:rFonts w:ascii="Times New Roman;Times;Serif" w:hAnsi="Times New Roman;Times;Serif"/>
                  <w:b w:val="false"/>
                  <w:i w:val="false"/>
                  <w:caps w:val="false"/>
                  <w:smallCaps w:val="false"/>
                  <w:sz w:val="20"/>
                </w:rPr>
                <w:t>Amended and Restated Motorsport Games Inc. 2021 Equity Incentive Plan, dated November 10, 2022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r:id="rId17">
              <w:r>
                <w:rPr>
                  <w:rStyle w:val="InternetLink"/>
                  <w:rFonts w:ascii="Times New Roman;Times;Serif" w:hAnsi="Times New Roman;Times;Serif"/>
                  <w:b w:val="false"/>
                  <w:i w:val="false"/>
                  <w:caps w:val="false"/>
                  <w:smallCaps w:val="false"/>
                  <w:sz w:val="20"/>
                </w:rPr>
                <w:t>Amendment to the Amended and Restated Motorsport Games Inc. 2021 Equity Incentive Plan, dated April 23, 2026</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001-39868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r:id="rId18">
              <w:r>
                <w:rPr>
                  <w:rStyle w:val="InternetLink"/>
                  <w:rFonts w:ascii="Times New Roman;Times;Serif" w:hAnsi="Times New Roman;Times;Serif"/>
                  <w:b w:val="false"/>
                  <w:i w:val="false"/>
                  <w:caps w:val="false"/>
                  <w:smallCaps w:val="false"/>
                  <w:sz w:val="20"/>
                </w:rPr>
                <w:t>Form of UK Approved Company Share Option Plan (Sub-Plan to the Motorsport Games Inc. 2021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r:id="rId19">
              <w:r>
                <w:rPr>
                  <w:rStyle w:val="InternetLink"/>
                  <w:rFonts w:ascii="Times New Roman;Times;Serif" w:hAnsi="Times New Roman;Times;Serif"/>
                  <w:b w:val="false"/>
                  <w:i w:val="false"/>
                  <w:caps w:val="false"/>
                  <w:smallCaps w:val="false"/>
                  <w:sz w:val="20"/>
                </w:rPr>
                <w:t>Form of UK Motorsport Games Incentive Plan (Sub-Plan to the Motorsport Games Inc. 2021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r:id="rId20">
              <w:r>
                <w:rPr>
                  <w:rStyle w:val="InternetLink"/>
                  <w:rFonts w:ascii="Times New Roman;Times;Serif" w:hAnsi="Times New Roman;Times;Serif"/>
                  <w:b w:val="false"/>
                  <w:i w:val="false"/>
                  <w:caps w:val="false"/>
                  <w:smallCaps w:val="false"/>
                  <w:sz w:val="20"/>
                </w:rPr>
                <w:t>Form of Incentive Stock Option Award Agreement Under the Motorsport Games Inc. 2021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r:id="rId21">
              <w:r>
                <w:rPr>
                  <w:rStyle w:val="InternetLink"/>
                  <w:rFonts w:ascii="Times New Roman;Times;Serif" w:hAnsi="Times New Roman;Times;Serif"/>
                  <w:b w:val="false"/>
                  <w:i w:val="false"/>
                  <w:caps w:val="false"/>
                  <w:smallCaps w:val="false"/>
                  <w:sz w:val="20"/>
                </w:rPr>
                <w:t>Form of Restricted Stock Award Agreement Under the Motorsport Games Inc. 2021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333-251501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w:anchor="ex5-1.htm">
              <w:r>
                <w:rPr>
                  <w:rStyle w:val="InternetLink"/>
                  <w:rFonts w:ascii="Times New Roman;Times;Serif" w:hAnsi="Times New Roman;Times;Serif"/>
                  <w:b w:val="false"/>
                  <w:i w:val="false"/>
                  <w:caps w:val="false"/>
                  <w:smallCaps w:val="false"/>
                  <w:sz w:val="20"/>
                </w:rPr>
                <w:t>Opinion of Blank Rome LLP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w:anchor="ex23-1.htm">
              <w:r>
                <w:rPr>
                  <w:rStyle w:val="InternetLink"/>
                  <w:rFonts w:ascii="Times New Roman;Times;Serif" w:hAnsi="Times New Roman;Times;Serif"/>
                  <w:b w:val="false"/>
                  <w:i w:val="false"/>
                  <w:caps w:val="false"/>
                  <w:smallCaps w:val="false"/>
                  <w:sz w:val="20"/>
                </w:rPr>
                <w:t>Consent of Grassi &amp; Co., CPAs, P.C., Independent Registered Public Accounting Firm</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w:anchor="ex5-1.htm">
              <w:r>
                <w:rPr>
                  <w:rStyle w:val="InternetLink"/>
                  <w:rFonts w:ascii="Times New Roman;Times;Serif" w:hAnsi="Times New Roman;Times;Serif"/>
                  <w:b w:val="false"/>
                  <w:i w:val="false"/>
                  <w:caps w:val="false"/>
                  <w:smallCaps w:val="false"/>
                  <w:sz w:val="20"/>
                </w:rPr>
                <w:t>Opinion of Blank Rome LLP (contained in Exhibit 5.1)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85" w:type="dxa"/>
            <w:tcBorders/>
            <w:vAlign w:val="center"/>
          </w:tcPr>
          <w:p>
            <w:pPr>
              <w:pStyle w:val="TableContents"/>
              <w:bidi w:val="0"/>
              <w:spacing w:before="0" w:after="283"/>
              <w:jc w:val="left"/>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40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rPr>
      </w:pPr>
      <w:r>
        <w:rPr>
          <w:caps/>
        </w:rPr>
        <w:t> </w:t>
      </w:r>
    </w:p>
    <w:p>
      <w:pPr>
        <w:pStyle w:val="TextBody"/>
        <w:pBd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pBdr/>
        <w:bidi w:val="0"/>
        <w:spacing w:before="0" w:after="0"/>
        <w:ind w:left="0" w:right="0" w:hanging="0"/>
        <w:jc w:val="center"/>
        <w:rPr>
          <w:caps/>
        </w:rPr>
      </w:pPr>
      <w:r>
        <w:rPr>
          <w:caps/>
        </w:rPr>
        <w:t> </w:t>
      </w:r>
    </w:p>
    <w:p>
      <w:pPr>
        <w:pStyle w:val="TextBody"/>
        <w:pBdr/>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Miramar, State of Florida,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2026.</w:t>
      </w:r>
    </w:p>
    <w:tbl>
      <w:tblPr>
        <w:tblW w:w="3715" w:type="dxa"/>
        <w:jc w:val="left"/>
        <w:tblInd w:w="0" w:type="dxa"/>
        <w:tblLayout w:type="fixed"/>
        <w:tblCellMar>
          <w:top w:w="0" w:type="dxa"/>
          <w:left w:w="0" w:type="dxa"/>
          <w:bottom w:w="0" w:type="dxa"/>
          <w:right w:w="0" w:type="dxa"/>
        </w:tblCellMar>
      </w:tblPr>
      <w:tblGrid>
        <w:gridCol w:w="75"/>
        <w:gridCol w:w="545"/>
        <w:gridCol w:w="30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Motorsport Games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Hood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pBdr/>
        <w:bidi w:val="0"/>
        <w:spacing w:before="0" w:after="0"/>
        <w:ind w:left="0" w:right="0" w:hanging="0"/>
        <w:jc w:val="both"/>
        <w:rPr>
          <w:caps/>
        </w:rPr>
      </w:pPr>
      <w:r>
        <w:rPr>
          <w:caps/>
        </w:rPr>
        <w:t> </w:t>
      </w:r>
    </w:p>
    <w:p>
      <w:pPr>
        <w:pStyle w:val="TextBody"/>
        <w:pBd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POWER OF ATTORNEY</w:t>
      </w:r>
    </w:p>
    <w:p>
      <w:pPr>
        <w:pStyle w:val="TextBody"/>
        <w:pBdr/>
        <w:bidi w:val="0"/>
        <w:spacing w:before="0" w:after="0"/>
        <w:ind w:left="0" w:right="0" w:hanging="0"/>
        <w:jc w:val="center"/>
        <w:rPr>
          <w:caps/>
        </w:rPr>
      </w:pPr>
      <w:r>
        <w:rPr>
          <w:caps/>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whose signature appears below, hereby constitutes and appoints Stephen Hood and Stanley Beckley, and each of them, as his true and lawful attorney-in-fact and agent, with full power of substitution and resubstitution for him and in his name, place and stead, in any and all capacities, to sign any or all amendments to this Registration Statement, whether pre-effective or post-effective, and to file the same with all exhibits thereto and other documents in connection therewith, with the Securities and Exchange Commission, granting unto said attorney-in-fact and agent, or his substitute full power and authority to do and perform each and every act and thing necessary or appropriate to be done with respect to this Registration Statement or any amendments hereto in the premises, as fully to all intents and purposes as he might or could do in person, hereby ratifying and confirming all that said attorney-in-fact and agent, or his substitute or substitutes, or any of them, may lawfully do or cause to be done by virtue thereof.</w:t>
      </w:r>
    </w:p>
    <w:p>
      <w:pPr>
        <w:pStyle w:val="TextBody"/>
        <w:pBdr/>
        <w:bidi w:val="0"/>
        <w:spacing w:before="0" w:after="0"/>
        <w:ind w:left="0" w:right="0" w:firstLine="441"/>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on Form S-8 has been signed below by the following persons, in the capacities and on the date or dates indicated:</w:t>
      </w:r>
    </w:p>
    <w:p>
      <w:pPr>
        <w:pStyle w:val="TextBody"/>
        <w:pBdr/>
        <w:bidi w:val="0"/>
        <w:spacing w:before="0" w:after="0"/>
        <w:ind w:left="0" w:right="0" w:firstLine="360"/>
        <w:jc w:val="both"/>
        <w:rPr>
          <w:caps w:val="false"/>
          <w:smallCaps w:val="false"/>
        </w:rPr>
      </w:pPr>
      <w:r>
        <w:rPr>
          <w:caps w:val="false"/>
          <w:smallCaps w:val="false"/>
        </w:rPr>
        <w:t> </w:t>
      </w:r>
    </w:p>
    <w:tbl>
      <w:tblPr>
        <w:tblW w:w="7490" w:type="dxa"/>
        <w:jc w:val="left"/>
        <w:tblInd w:w="0" w:type="dxa"/>
        <w:shd w:fill="FFFFFF" w:val="clear"/>
        <w:tblLayout w:type="fixed"/>
        <w:tblCellMar>
          <w:top w:w="0" w:type="dxa"/>
          <w:left w:w="0" w:type="dxa"/>
          <w:bottom w:w="28" w:type="dxa"/>
          <w:right w:w="0" w:type="dxa"/>
        </w:tblCellMar>
      </w:tblPr>
      <w:tblGrid>
        <w:gridCol w:w="335"/>
        <w:gridCol w:w="2180"/>
        <w:gridCol w:w="60"/>
        <w:gridCol w:w="3635"/>
        <w:gridCol w:w="60"/>
        <w:gridCol w:w="1220"/>
      </w:tblGrid>
      <w:tr>
        <w:trPr/>
        <w:tc>
          <w:tcPr>
            <w:tcW w:w="251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Stanley Beckley</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Stanley Beckley</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Delta</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Delta</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Jacobson</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Jacobson</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Navtej Singh Sunner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Navtej Singh Sunner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Guoquan (Paul) Huang</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tc>
      </w:tr>
      <w:tr>
        <w:trPr/>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Guoquan (Paul) Huang</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6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2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pBdr/>
        <w:bidi w:val="0"/>
        <w:spacing w:before="0" w:after="0"/>
        <w:ind w:left="0" w:right="0" w:firstLine="441"/>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caps w:val="false"/>
          <w:smallCaps w:val="false"/>
        </w:rPr>
      </w:pPr>
      <w:bookmarkStart w:id="2" w:name="ex5-1.htm"/>
      <w:bookmarkStart w:id="3" w:name="ksex5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2880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2"/>
                    <a:stretch>
                      <a:fillRect/>
                    </a:stretch>
                  </pic:blipFill>
                  <pic:spPr bwMode="auto">
                    <a:xfrm>
                      <a:off x="0" y="0"/>
                      <a:ext cx="1828800" cy="238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 | New York, NY 10020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blankrome.com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 SW 148th Avenue, Suite 207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 33027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Motorsport Games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of a Registration Statement on Form S-8 (the “Registration Statement”) to be filed by the Company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relating to the offer and sale of up to 500,000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issuable upon the grant, exercise or vesting of awards (“</w:t>
      </w:r>
      <w:r>
        <w:rPr>
          <w:rFonts w:ascii="Times New Roman;Times;Serif" w:hAnsi="Times New Roman;Times;Serif"/>
          <w:b/>
          <w:i w:val="false"/>
          <w:caps w:val="false"/>
          <w:smallCaps w:val="false"/>
          <w:sz w:val="20"/>
        </w:rPr>
        <w:t>Awards</w:t>
      </w:r>
      <w:r>
        <w:rPr>
          <w:rFonts w:ascii="Times New Roman;Times;Serif" w:hAnsi="Times New Roman;Times;Serif"/>
          <w:b w:val="false"/>
          <w:i w:val="false"/>
          <w:caps w:val="false"/>
          <w:smallCaps w:val="false"/>
          <w:sz w:val="20"/>
        </w:rPr>
        <w:t>”) under the Company’s Amended and Restated 2021 Equity Incentive Plan, as amended by the Amendment to the Plan dated April 23, 2026 (as amended,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xml:space="preserve">”). This opinion is furnished pursuant to the requirements of Item 601(b)(5) of Regulation S-K.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rendering this opinion, we have examined copies of only the following documents: (i) the Company’s Certificate of Incorporation and Bylaws, each as amended as of the date hereof; (ii) resolutions adopted by the Board of Directors and stockholders of the Company; (iii) the Registration Statement; and (iv) the Plan. We have not performed any independent investigation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rendering this opinion, we have assumed that (i) the Shares will be issued in accordance with the terms and conditions of the Plan, (ii) at the time of issuance of any Shares, there shall be a sufficient number of duly authorized and unissued shares of the Company’s Common Stock to accommodate the issuance of the Shares and (iii) the per share consideration received by the Company in exchange for the issuance of any Shares shall not be less than the par value per share of the Company’s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it is our opinion that the Shares have been duly authorized and, when issued and delivered in accordance with the provisions of the Plan and the Registration Statement upon receipt by the Company of adequate consideration therefor,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in this opinion letter are qualified in their entirety and subject to the following:</w:t>
      </w:r>
    </w:p>
    <w:p>
      <w:pPr>
        <w:pStyle w:val="TextBody"/>
        <w:bidi w:val="0"/>
        <w:spacing w:before="0" w:after="0"/>
        <w:ind w:left="0" w:right="0" w:hanging="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laws of any jurisdiction other than the General Corporation Law of the State of Delaware.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as of the date hereof and is limited to the matters stated herein, and no opinion is implied or may be inferred beyond the matters expressly stated. We assume herein no obligation, and hereby disclaim any obligation, to make any inquiry after the date hereof or to advise you of any future changes in the foregoing or of any facts or circumstances that may hereafter come to our attention.</w:t>
            </w:r>
          </w:p>
        </w:tc>
      </w:tr>
    </w:tbl>
    <w:p>
      <w:pPr>
        <w:pStyle w:val="TextBody"/>
        <w:bidi w:val="0"/>
        <w:spacing w:before="0" w:after="0"/>
        <w:ind w:left="720" w:right="0" w:hanging="360"/>
        <w:jc w:val="both"/>
        <w:rPr>
          <w:caps w:val="false"/>
          <w:smallCaps w:val="false"/>
        </w:rPr>
      </w:pPr>
      <w:r>
        <w:rPr>
          <w:caps w:val="false"/>
          <w:smallCaps w:val="false"/>
        </w:rPr>
        <w:t xml:space="preserve">  </w:t>
      </w:r>
    </w:p>
    <w:p>
      <w:pPr>
        <w:pStyle w:val="TextBody"/>
        <w:bidi w:val="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is strictly limited to the matters stated herein and no other or more extensive opinion is intended, implied or to be inferred beyond the matters stated herein. We assume no obligation to update or supplement this opinion to reflect any facts or circumstances that may hereafter come to our attention or any changes in laws that may hereafter occur. </w:t>
      </w:r>
    </w:p>
    <w:p>
      <w:pPr>
        <w:pStyle w:val="TextBody"/>
        <w:bidi w:val="0"/>
        <w:spacing w:before="0" w:after="0"/>
        <w:ind w:left="720" w:right="0" w:hanging="36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Exhibit 5.1 to the Registration Statement. In giving such consent, we do not thereby admit that we are within the category of persons whose consent is required under Section 7 of the Securities Act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75"/>
        <w:gridCol w:w="1700"/>
      </w:tblGrid>
      <w:tr>
        <w:trPr/>
        <w:tc>
          <w:tcPr>
            <w:tcW w:w="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Blank Rome LLP</w:t>
            </w:r>
          </w:p>
        </w:tc>
      </w:tr>
      <w:tr>
        <w:trPr/>
        <w:tc>
          <w:tcPr>
            <w:tcW w:w="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Blank Rome LLP</w:t>
            </w:r>
          </w:p>
        </w:tc>
      </w:tr>
    </w:tbl>
    <w:p>
      <w:pPr>
        <w:pStyle w:val="TextBody"/>
        <w:bidi w:val="0"/>
        <w:spacing w:before="0" w:after="0"/>
        <w:ind w:left="4320" w:right="0" w:hanging="0"/>
        <w:jc w:val="both"/>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ind w:left="0" w:right="0" w:hanging="0"/>
        <w:jc w:val="both"/>
        <w:rPr>
          <w:caps w:val="false"/>
          <w:smallCaps w:val="false"/>
        </w:rPr>
      </w:pPr>
      <w:bookmarkStart w:id="4" w:name="ex23-1.htm"/>
      <w:bookmarkStart w:id="5" w:name="ksex231"/>
      <w:bookmarkEnd w:id="4"/>
      <w:bookmarkEnd w:id="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our report dated March 10, 2026, with respect to the consolidated financial statements of Motorsport Games Inc., included in its Annual Report on Form 10-K for the year ended December 31, 2025.</w:t>
      </w:r>
    </w:p>
    <w:p>
      <w:pPr>
        <w:pStyle w:val="TextBody"/>
        <w:bidi w:val="0"/>
        <w:ind w:left="0" w:right="0" w:firstLine="648"/>
        <w:jc w:val="both"/>
        <w:rPr>
          <w:caps w:val="false"/>
          <w:smallCaps w:val="false"/>
        </w:rPr>
      </w:pPr>
      <w:r>
        <w:rPr>
          <w:caps w:val="false"/>
          <w:smallCaps w:val="false"/>
        </w:rPr>
        <w:t> </w:t>
      </w:r>
    </w:p>
    <w:tbl>
      <w:tblPr>
        <w:tblW w:w="2330" w:type="dxa"/>
        <w:jc w:val="left"/>
        <w:tblInd w:w="0" w:type="dxa"/>
        <w:tblLayout w:type="fixed"/>
        <w:tblCellMar>
          <w:top w:w="0" w:type="dxa"/>
          <w:left w:w="0" w:type="dxa"/>
          <w:bottom w:w="0" w:type="dxa"/>
          <w:right w:w="0" w:type="dxa"/>
        </w:tblCellMar>
      </w:tblPr>
      <w:tblGrid>
        <w:gridCol w:w="2255"/>
        <w:gridCol w:w="75"/>
      </w:tblGrid>
      <w:tr>
        <w:trPr/>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Grassi &amp; Co., CPAs, P.C.</w:t>
            </w:r>
          </w:p>
        </w:tc>
        <w:tc>
          <w:tcPr>
            <w:tcW w:w="7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Jericho, New York</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April 30, 2026</w:t>
            </w:r>
          </w:p>
        </w:tc>
        <w:tc>
          <w:tcPr>
            <w:tcW w:w="75" w:type="dxa"/>
            <w:tcBorders/>
            <w:vAlign w:val="center"/>
          </w:tcPr>
          <w:p>
            <w:pPr>
              <w:pStyle w:val="TableContents"/>
              <w:bidi w:val="0"/>
              <w:spacing w:before="0" w:after="283"/>
              <w:jc w:val="left"/>
              <w:rPr/>
            </w:pPr>
            <w:r>
              <w:rPr/>
              <w:t> </w:t>
            </w:r>
          </w:p>
        </w:tc>
      </w:tr>
    </w:tbl>
    <w:p>
      <w:pPr>
        <w:pStyle w:val="TextBody"/>
        <w:bidi w:val="0"/>
        <w:ind w:left="0" w:right="0" w:firstLine="64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Normal"/>
        <w:bidi w:val="0"/>
        <w:spacing w:before="0" w:after="0"/>
        <w:ind w:left="0" w:right="0" w:firstLine="648"/>
        <w:jc w:val="left"/>
        <w:rPr>
          <w:sz w:val="4"/>
          <w:szCs w:val="4"/>
        </w:rPr>
      </w:pPr>
      <w:r>
        <w:rPr>
          <w:sz w:val="4"/>
          <w:szCs w:val="4"/>
        </w:rPr>
      </w:r>
      <w:bookmarkStart w:id="6" w:name="ex107.htm"/>
      <w:bookmarkStart w:id="7" w:name="ksex107"/>
      <w:bookmarkStart w:id="8" w:name="ex107.htm"/>
      <w:bookmarkStart w:id="9" w:name="ksex107"/>
      <w:bookmarkEnd w:id="8"/>
      <w:bookmarkEnd w:id="9"/>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Motorsport Games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1"/>
        <w:gridCol w:w="1090"/>
        <w:gridCol w:w="1300"/>
        <w:gridCol w:w="1208"/>
        <w:gridCol w:w="1239"/>
        <w:gridCol w:w="1600"/>
        <w:gridCol w:w="1127"/>
        <w:gridCol w:w="1438"/>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90"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0"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8"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39"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0"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8"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1" w:type="dxa"/>
            <w:tcBorders/>
            <w:shd w:fill="E7E7E2" w:val="clear"/>
            <w:vAlign w:val="center"/>
          </w:tcPr>
          <w:p>
            <w:pPr>
              <w:pStyle w:val="TableContents"/>
              <w:bidi w:val="0"/>
              <w:spacing w:before="0" w:after="283"/>
              <w:jc w:val="left"/>
              <w:rPr/>
            </w:pPr>
            <w:r>
              <w:rPr/>
              <w:t xml:space="preserve">Equity </w:t>
            </w:r>
          </w:p>
        </w:tc>
        <w:tc>
          <w:tcPr>
            <w:tcW w:w="1090" w:type="dxa"/>
            <w:tcBorders/>
            <w:shd w:fill="E7E7E2" w:val="clear"/>
            <w:vAlign w:val="center"/>
          </w:tcPr>
          <w:p>
            <w:pPr>
              <w:pStyle w:val="TableContents"/>
              <w:bidi w:val="0"/>
              <w:spacing w:before="0" w:after="283"/>
              <w:jc w:val="left"/>
              <w:rPr/>
            </w:pPr>
            <w:r>
              <w:rPr/>
              <w:t xml:space="preserve">Class A Common Stock, $0.0001 par value per share </w:t>
            </w:r>
          </w:p>
        </w:tc>
        <w:tc>
          <w:tcPr>
            <w:tcW w:w="1300" w:type="dxa"/>
            <w:tcBorders/>
            <w:shd w:fill="E7E7E2" w:val="clear"/>
            <w:vAlign w:val="center"/>
          </w:tcPr>
          <w:p>
            <w:pPr>
              <w:pStyle w:val="TableContents"/>
              <w:bidi w:val="0"/>
              <w:spacing w:before="0" w:after="283"/>
              <w:jc w:val="center"/>
              <w:rPr/>
            </w:pPr>
            <w:r>
              <w:rPr/>
              <w:t xml:space="preserve">457(a) </w:t>
            </w:r>
          </w:p>
        </w:tc>
        <w:tc>
          <w:tcPr>
            <w:tcW w:w="1208" w:type="dxa"/>
            <w:tcBorders/>
            <w:shd w:fill="E7E7E2" w:val="clear"/>
            <w:vAlign w:val="center"/>
          </w:tcPr>
          <w:p>
            <w:pPr>
              <w:pStyle w:val="TableContents"/>
              <w:bidi w:val="0"/>
              <w:spacing w:before="0" w:after="283"/>
              <w:jc w:val="right"/>
              <w:rPr/>
            </w:pPr>
            <w:r>
              <w:rPr/>
              <w:t xml:space="preserve">500,000 </w:t>
            </w:r>
          </w:p>
        </w:tc>
        <w:tc>
          <w:tcPr>
            <w:tcW w:w="1239" w:type="dxa"/>
            <w:tcBorders/>
            <w:shd w:fill="E7E7E2" w:val="clear"/>
            <w:vAlign w:val="center"/>
          </w:tcPr>
          <w:p>
            <w:pPr>
              <w:pStyle w:val="TableContents"/>
              <w:bidi w:val="0"/>
              <w:spacing w:before="0" w:after="283"/>
              <w:jc w:val="right"/>
              <w:rPr/>
            </w:pPr>
            <w:r>
              <w:rPr/>
              <w:t xml:space="preserve">$ 3.8924 </w:t>
            </w:r>
          </w:p>
        </w:tc>
        <w:tc>
          <w:tcPr>
            <w:tcW w:w="1600" w:type="dxa"/>
            <w:tcBorders/>
            <w:shd w:fill="E7E7E2" w:val="clear"/>
            <w:vAlign w:val="center"/>
          </w:tcPr>
          <w:p>
            <w:pPr>
              <w:pStyle w:val="TableContents"/>
              <w:bidi w:val="0"/>
              <w:spacing w:before="0" w:after="283"/>
              <w:jc w:val="right"/>
              <w:rPr/>
            </w:pPr>
            <w:r>
              <w:rPr/>
              <w:t xml:space="preserve">$ 1,946,200.00 </w:t>
            </w:r>
          </w:p>
        </w:tc>
        <w:tc>
          <w:tcPr>
            <w:tcW w:w="1127" w:type="dxa"/>
            <w:tcBorders/>
            <w:shd w:fill="E7E7E2" w:val="clear"/>
            <w:vAlign w:val="center"/>
          </w:tcPr>
          <w:p>
            <w:pPr>
              <w:pStyle w:val="TableContents"/>
              <w:bidi w:val="0"/>
              <w:spacing w:before="0" w:after="283"/>
              <w:jc w:val="right"/>
              <w:rPr/>
            </w:pPr>
            <w:r>
              <w:rPr/>
              <w:t xml:space="preserve">0.0001381 </w:t>
            </w:r>
          </w:p>
        </w:tc>
        <w:tc>
          <w:tcPr>
            <w:tcW w:w="1438" w:type="dxa"/>
            <w:tcBorders/>
            <w:shd w:fill="E7E7E2" w:val="clear"/>
            <w:vAlign w:val="center"/>
          </w:tcPr>
          <w:p>
            <w:pPr>
              <w:pStyle w:val="TableContents"/>
              <w:bidi w:val="0"/>
              <w:spacing w:before="0" w:after="283"/>
              <w:jc w:val="right"/>
              <w:rPr/>
            </w:pPr>
            <w:r>
              <w:rPr/>
              <w:t xml:space="preserve">$ 268.77 </w:t>
            </w:r>
          </w:p>
        </w:tc>
      </w:tr>
      <w:tr>
        <w:trPr/>
        <w:tc>
          <w:tcPr>
            <w:tcW w:w="4801" w:type="dxa"/>
            <w:gridSpan w:val="5"/>
            <w:tcBorders/>
            <w:vAlign w:val="center"/>
          </w:tcPr>
          <w:p>
            <w:pPr>
              <w:pStyle w:val="TableContents"/>
              <w:bidi w:val="0"/>
              <w:spacing w:before="0" w:after="0"/>
              <w:ind w:left="0" w:right="0" w:hanging="0"/>
              <w:jc w:val="right"/>
              <w:rPr/>
            </w:pPr>
            <w:r>
              <w:rPr/>
              <w:t>Total Offering Amounts:</w:t>
            </w:r>
          </w:p>
        </w:tc>
        <w:tc>
          <w:tcPr>
            <w:tcW w:w="123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0"/>
              <w:ind w:left="0" w:right="0" w:hanging="0"/>
              <w:jc w:val="right"/>
              <w:rPr/>
            </w:pPr>
            <w:bookmarkStart w:id="10" w:name="MaxAggtOfferingPrice"/>
            <w:bookmarkEnd w:id="10"/>
            <w:r>
              <w:rPr/>
              <w:t xml:space="preserve">$ 1,946,200.00 </w:t>
            </w:r>
          </w:p>
        </w:tc>
        <w:tc>
          <w:tcPr>
            <w:tcW w:w="1127" w:type="dxa"/>
            <w:tcBorders/>
            <w:vAlign w:val="center"/>
          </w:tcPr>
          <w:p>
            <w:pPr>
              <w:pStyle w:val="TableContents"/>
              <w:bidi w:val="0"/>
              <w:spacing w:before="0" w:after="283"/>
              <w:jc w:val="left"/>
              <w:rPr>
                <w:sz w:val="4"/>
                <w:szCs w:val="4"/>
              </w:rPr>
            </w:pPr>
            <w:r>
              <w:rPr>
                <w:sz w:val="4"/>
                <w:szCs w:val="4"/>
              </w:rPr>
            </w:r>
          </w:p>
        </w:tc>
        <w:tc>
          <w:tcPr>
            <w:tcW w:w="143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1" w:name="TotalFeeAmt"/>
            <w:bookmarkEnd w:id="11"/>
            <w:r>
              <w:rPr/>
              <w:t xml:space="preserve">$ 268.77 </w:t>
            </w:r>
          </w:p>
        </w:tc>
      </w:tr>
      <w:tr>
        <w:trPr/>
        <w:tc>
          <w:tcPr>
            <w:tcW w:w="4801" w:type="dxa"/>
            <w:gridSpan w:val="5"/>
            <w:tcBorders/>
            <w:vAlign w:val="center"/>
          </w:tcPr>
          <w:p>
            <w:pPr>
              <w:pStyle w:val="TableContents"/>
              <w:bidi w:val="0"/>
              <w:spacing w:before="0" w:after="0"/>
              <w:ind w:left="0" w:right="0" w:hanging="0"/>
              <w:jc w:val="right"/>
              <w:rPr/>
            </w:pPr>
            <w:r>
              <w:rPr/>
              <w:t xml:space="preserve">Total Fee Offsets: </w:t>
            </w:r>
          </w:p>
        </w:tc>
        <w:tc>
          <w:tcPr>
            <w:tcW w:w="123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0"/>
              <w:ind w:left="0" w:right="0" w:hanging="0"/>
              <w:jc w:val="right"/>
              <w:rPr/>
            </w:pPr>
            <w:bookmarkStart w:id="12" w:name="TotalOffsetAmt"/>
            <w:bookmarkEnd w:id="12"/>
            <w:r>
              <w:rPr/>
              <w:t xml:space="preserve">$ 0.00 </w:t>
            </w:r>
          </w:p>
        </w:tc>
      </w:tr>
      <w:tr>
        <w:trPr/>
        <w:tc>
          <w:tcPr>
            <w:tcW w:w="4801" w:type="dxa"/>
            <w:gridSpan w:val="5"/>
            <w:tcBorders/>
            <w:vAlign w:val="center"/>
          </w:tcPr>
          <w:p>
            <w:pPr>
              <w:pStyle w:val="TableContents"/>
              <w:bidi w:val="0"/>
              <w:spacing w:before="0" w:after="0"/>
              <w:ind w:left="0" w:right="0" w:hanging="0"/>
              <w:jc w:val="right"/>
              <w:rPr/>
            </w:pPr>
            <w:r>
              <w:rPr/>
              <w:t xml:space="preserve">Net Fee Due: </w:t>
            </w:r>
          </w:p>
        </w:tc>
        <w:tc>
          <w:tcPr>
            <w:tcW w:w="123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0"/>
              <w:ind w:left="0" w:right="0" w:hanging="0"/>
              <w:jc w:val="right"/>
              <w:rPr/>
            </w:pPr>
            <w:bookmarkStart w:id="13" w:name="NetFeeAmt"/>
            <w:bookmarkEnd w:id="13"/>
            <w:r>
              <w:rPr/>
              <w:t xml:space="preserve">$ 268.77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The securities to be registered include options and other rights to acquire shares of Class A common stock, par value $0.0001 per share, of Motorsport Games Inc. (the "Registrant") issuable pursuant to the Registrant's Amended and Restated 2021 Equity Incentive Plan, as amended (the "Plan"). Pursuant to Rule 416(a) under the Securities Act of 1933, as amended (the "Securities Act"), this registration statement also covers any additional securities that may be offered or issued in connection with any stock split, stock dividend or similar transaction. Estimated solely for the purpose of calculating the amount of the registration fee pursuant to Rule 457(c) and Rule 457(h) promulgated under the Securities Act. The offering price per share and the aggregate offering price are based upon the average of the high ($4.0248) and low ($3.7600) sales prices per share of the Registrant's Common Stock as reported on The Nasdaq Capital Market as of April 23, 2025.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1175/000149315226009532/form10-k.htm" TargetMode="External"/><Relationship Id="rId3" Type="http://schemas.openxmlformats.org/officeDocument/2006/relationships/hyperlink" Target="https://www.sec.gov/Archives/edgar/data/1821175/000149315226008070/form8-k.htm" TargetMode="External"/><Relationship Id="rId4" Type="http://schemas.openxmlformats.org/officeDocument/2006/relationships/hyperlink" Target="https://www.sec.gov/Archives/edgar/data/1821175/000149315226014925/form8-k.htm" TargetMode="External"/><Relationship Id="rId5" Type="http://schemas.openxmlformats.org/officeDocument/2006/relationships/hyperlink" Target="https://www.sec.gov/Archives/edgar/data/1821175/000149315226017937/form8-k.htm" TargetMode="External"/><Relationship Id="rId6" Type="http://schemas.openxmlformats.org/officeDocument/2006/relationships/hyperlink" Target="https://www.sec.gov/Archives/edgar/data/1821175/000149315226018306/form8-k.htm" TargetMode="External"/><Relationship Id="rId7" Type="http://schemas.openxmlformats.org/officeDocument/2006/relationships/hyperlink" Target="https://www.sec.gov/Archives/edgar/data/1821175/000149315226018755/form8-k.htm" TargetMode="External"/><Relationship Id="rId8" Type="http://schemas.openxmlformats.org/officeDocument/2006/relationships/hyperlink" Target="https://www.sec.gov/Archives/edgar/data/1821175/000149315226018943/form8-k.htm" TargetMode="External"/><Relationship Id="rId9" Type="http://schemas.openxmlformats.org/officeDocument/2006/relationships/hyperlink" Target="https://www.sec.gov/Archives/edgar/data/1821175/000149315226010269/formdef14a.htm" TargetMode="External"/><Relationship Id="rId10" Type="http://schemas.openxmlformats.org/officeDocument/2006/relationships/hyperlink" Target="https://www.sec.gov/Archives/edgar/data/1821175/000149315221000471/form8a12b.htm" TargetMode="External"/><Relationship Id="rId11" Type="http://schemas.openxmlformats.org/officeDocument/2006/relationships/hyperlink" Target="https://www.sec.gov/Archives/edgar/data/1821175/000149315223008878/ex4-2.htm" TargetMode="External"/><Relationship Id="rId12" Type="http://schemas.openxmlformats.org/officeDocument/2006/relationships/hyperlink" Target="https://www.sec.gov/Archives/edgar/data/1821175/000149315221000678/ex3-3.htm" TargetMode="External"/><Relationship Id="rId13" Type="http://schemas.openxmlformats.org/officeDocument/2006/relationships/hyperlink" Target="https://www.sec.gov/Archives/edgar/data/1821175/000149315222031215/ex3-1.htm" TargetMode="External"/><Relationship Id="rId14" Type="http://schemas.openxmlformats.org/officeDocument/2006/relationships/hyperlink" Target="https://www.sec.gov/Archives/edgar/data/1821175/000149315221000678/ex3-4.htm" TargetMode="External"/><Relationship Id="rId15" Type="http://schemas.openxmlformats.org/officeDocument/2006/relationships/hyperlink" Target="https://www.sec.gov/Archives/edgar/data/1821175/000149315222031215/ex3-2.htm" TargetMode="External"/><Relationship Id="rId16" Type="http://schemas.openxmlformats.org/officeDocument/2006/relationships/hyperlink" Target="https://www.sec.gov/Archives/edgar/data/1821175/000149315222031215/ex10-1.htm" TargetMode="External"/><Relationship Id="rId17" Type="http://schemas.openxmlformats.org/officeDocument/2006/relationships/hyperlink" Target="https://www.sec.gov/Archives/edgar/data/1821175/000149315226018755/ex10-2.htm" TargetMode="External"/><Relationship Id="rId18" Type="http://schemas.openxmlformats.org/officeDocument/2006/relationships/hyperlink" Target="https://www.sec.gov/Archives/edgar/data/1821175/000149315220024706/ex10-15_2.htm" TargetMode="External"/><Relationship Id="rId19" Type="http://schemas.openxmlformats.org/officeDocument/2006/relationships/hyperlink" Target="https://www.sec.gov/Archives/edgar/data/1821175/000149315220024706/ex10-15_3.htm" TargetMode="External"/><Relationship Id="rId20" Type="http://schemas.openxmlformats.org/officeDocument/2006/relationships/hyperlink" Target="https://www.sec.gov/Archives/edgar/data/1821175/000149315220023938/ex10-16.htm" TargetMode="External"/><Relationship Id="rId21" Type="http://schemas.openxmlformats.org/officeDocument/2006/relationships/hyperlink" Target="https://www.sec.gov/Archives/edgar/data/1821175/000149315220023938/ex10-17.htm" TargetMode="External"/><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3880</Words>
  <Characters>20575</Characters>
  <CharactersWithSpaces>24567</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