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Motorsport Games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Red Oak Partners,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442,644.00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442,644.00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442,644.00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10.6 %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Red Oak Fund,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285,611.00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285,611.00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285,611.00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Red Oak Long Fund,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157,033.00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157,033.00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157,033.00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Sandberg David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442,644.00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442,644.00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442,644.00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10.6 %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7"/>
        <w:gridCol w:w="8903"/>
        <w:gridCol w:w="155"/>
      </w:tblGrid>
      <w:tr>
        <w:trPr/>
        <w:tc>
          <w:tcPr>
            <w:tcW w:w="1147" w:type="dxa"/>
            <w:tcBorders/>
            <w:vAlign w:val="center"/>
          </w:tcPr>
          <w:p>
            <w:pPr>
              <w:pStyle w:val="TableContents"/>
              <w:bidi w:val="0"/>
              <w:spacing w:before="0" w:after="283"/>
              <w:jc w:val="left"/>
              <w:rPr/>
            </w:pPr>
            <w:r>
              <w:rPr/>
              <w:t>Item 1.</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issuer: </w:t>
            </w:r>
          </w:p>
          <w:p>
            <w:pPr>
              <w:pStyle w:val="TableContents"/>
              <w:bidi w:val="0"/>
              <w:spacing w:before="0" w:after="0"/>
              <w:jc w:val="left"/>
              <w:rPr/>
            </w:pPr>
            <w:r>
              <w:rPr/>
              <w:t>Motorsport Games Inc.</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3350 SW 148th Avenue, Suite 207, Miramar, FL, 33027</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2.</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Statement (the "Reporting Persons") are: The Red Oak Fund, LP, a Delaware limited partnership ("Red Oak Fund"); The Red Oak Long Fund, LP, a Delaware limited partnership ("Red Oak Long Fund"); Red Oak Partners, LLC, a Florida limited liability company ("Red Oak Partners"); and David Sandberg, as the controlling member of Red Oak Partners. This Statement is being filed by David Sandberg, the controlling member of Red Oak Partners, which manages each of Red Oak Fund and Red Oak Long Fund (each a "Fund" and, collectively, the "Funds"). The Funds are private investment vehicles formed for the purpose of investing and trading in a wide variety of securities and financial instruments. The Funds directly own the shares as reported in this Statement. Each of the filers hereto disclaims beneficial ownership with respect to any shares other than shares owned directly by such filer.</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40 SE 5th Street, Suite 502, Boca Raton, FL 33432</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jc w:val="left"/>
              <w:rPr/>
            </w:pPr>
            <w:r>
              <w:rPr/>
              <w:t xml:space="preserve">Citizenship: </w:t>
            </w:r>
          </w:p>
          <w:p>
            <w:pPr>
              <w:pStyle w:val="TableContents"/>
              <w:bidi w:val="0"/>
              <w:spacing w:before="0" w:after="0"/>
              <w:jc w:val="left"/>
              <w:rPr/>
            </w:pPr>
            <w:r>
              <w:rPr/>
              <w:t>David Sandberg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3.</w:t>
            </w:r>
          </w:p>
        </w:tc>
        <w:tc>
          <w:tcPr>
            <w:tcW w:w="890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(f)</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(g)</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(h)</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(j)</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(k)</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9058" w:type="dxa"/>
            <w:gridSpan w:val="2"/>
            <w:tcBorders/>
            <w:vAlign w:val="center"/>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4.</w:t>
            </w:r>
          </w:p>
        </w:tc>
        <w:tc>
          <w:tcPr>
            <w:tcW w:w="890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Red Oak Partners may be deemed to beneficially own 442,644 shares of Class A common stock which includes: 285,611 shares of Class A common stock that Red Oak Fund may be deemed to beneficially own and 157,033 shares of Class A common stock that Red Oak Long Fund may be deemed to beneficially own. Mr. Sandberg, as the managing member of Red Oak Partners may be deemed to beneficially own the 442,644 shares of Class A common stock beneficially owned by Red Oak Partners through the Funds.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With respect to David Sandberg and Red Oak Partners, 10.6% of Class A common stock. With respect to the Red Oak Fund, 6.8% of Class A common stock. With respect to the Red Oak Long Fund, 3.8% of Class A common stock.  %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With respect to David Sandberg and Red Oak Partners, LLC, 442,644 shares of Class A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With respect to David Sandberg and Red Oak Partners, LLC, 442,644 shares of Class A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5.</w:t>
            </w:r>
          </w:p>
        </w:tc>
        <w:tc>
          <w:tcPr>
            <w:tcW w:w="890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6.</w:t>
            </w:r>
          </w:p>
        </w:tc>
        <w:tc>
          <w:tcPr>
            <w:tcW w:w="890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7.</w:t>
            </w:r>
          </w:p>
        </w:tc>
        <w:tc>
          <w:tcPr>
            <w:tcW w:w="890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8.</w:t>
            </w:r>
          </w:p>
        </w:tc>
        <w:tc>
          <w:tcPr>
            <w:tcW w:w="890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9.</w:t>
            </w:r>
          </w:p>
        </w:tc>
        <w:tc>
          <w:tcPr>
            <w:tcW w:w="890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Red Oak Partners, LLC</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David Sandberg</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Red Oak Fund, LP</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David Sandberg</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Red Oak Long Fund, LP</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David Sandberg</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Sandberg David</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David Sandberg</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Individual</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1418</Words>
  <Characters>7138</Characters>
  <CharactersWithSpaces>8487</CharactersWithSpaces>
  <Paragraphs>299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