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 Oak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SE 5TH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4"/>
        <w:gridCol w:w="773"/>
        <w:gridCol w:w="600"/>
        <w:gridCol w:w="349"/>
        <w:gridCol w:w="847"/>
        <w:gridCol w:w="455"/>
        <w:gridCol w:w="798"/>
        <w:gridCol w:w="1164"/>
        <w:gridCol w:w="999"/>
        <w:gridCol w:w="97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1,406</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3.947</w:t>
            </w:r>
            <w:r>
              <w:rPr>
                <w:rFonts w:ascii="Times;serif" w:hAnsi="Times;serif"/>
                <w:color w:val="008000"/>
                <w:position w:val="7"/>
                <w:sz w:val="16"/>
                <w:sz w:val="20"/>
                <w:shd w:fill="FFFFFF" w:val="clear"/>
              </w:rPr>
              <w:t>(4)</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346,182</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3.947</w:t>
            </w:r>
            <w:r>
              <w:rPr>
                <w:rFonts w:ascii="Times;serif" w:hAnsi="Times;serif"/>
                <w:color w:val="008000"/>
                <w:position w:val="7"/>
                <w:sz w:val="16"/>
                <w:sz w:val="20"/>
                <w:shd w:fill="FFFFFF" w:val="clear"/>
              </w:rPr>
              <w:t>(4)</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185,178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Red Oak Partners, LLC ("ROP") serves as the general partner of The Red Oak Fund, LP, a Delaware limited partnership (the "Fund"), the direct owner of the subject securities. David Sandberg is the managing member of ROP and the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ROP serves as the general partner of The Red Oak Long Fund, LP, a Delaware limited partnership (the "Long Fund"), the direct owner of the subject securities. David Sandberg is the managing member of ROP and the Long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disclaims beneficial ownership of all securities reported herein, except to the extent of their pecuniary interest therein, if any, and this report shall not be deemed an admission that such Reporting Person is the beneficial owner of the shares for purposes of Section 16 of the Securities and Exchange Act of 1934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transactions were executed in multiple trades at prices ranging from $3.91 to $3.95.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Sandberg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5533"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806</Words>
  <Characters>4245</Characters>
  <CharactersWithSpaces>4971</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