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333-287673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285432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2,272,728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7"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2,272,728 shares of Class A common stock, par value $0.0001 per share (the “Class A common stock”), of Motorsport Games Inc. by the Selling Stockholders identified in this prospectus, including their pledgees, assignees, donees, transferees or their respective successors-in-interest (collectively, the “Selling Stockholders”), that were issued in a private placement transaction that closed on April 11, 2025 (the “Private Placement”) and consist of (i) 1,894,892 shares of Class A common stock (the “Shares”) issued upon the closing of the Private Placement and (ii) up to 377,836 shares of Class A common stock (the “Warrant Shares”) issuable upon the exercise of a pre-funded warrant (the “Warrant”).</w:t>
      </w:r>
    </w:p>
    <w:p>
      <w:pPr>
        <w:spacing w:after="0" w:line="1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offering any shares of Class A common stock under this prospectus and will not receive any proceeds from the sale or other disposition of the shares of our Class A common stock covered hereby. See “Use of Proceeds” beginning on page 11 of this prospectus.</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filing the registration statement on Form S-3 of which this prospectus forms a part to fulfill certain contractual obligations to the Selling Stockholders relating to the resale by the Selling Stockholders of the shares of Class A common stock offered hereby. See “Selling Stockholders” beginning on page 14 of this prospectus for more information about the Selling Stockholders. The registration of the shares of Class A common stock to which this prospectus relates does not require the Selling Stockholders to sell any of their shares of our Class A common stock.</w:t>
      </w:r>
    </w:p>
    <w:p>
      <w:pPr>
        <w:spacing w:after="0" w:line="180"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identified in this prospectus, or its or their pledgees, assignees, donees, transferees or their respective successors-in-interest, from time to time may offer and sell through public or private transactions at prevailing market prices, at prices related to prevailing market prices or at privately negotiated prices the shares held by them directly or through underwriters, agents or broker-dealers on terms to be determined at the time of sale, as described in more detail in this prospectus. See “Plan of Distribution” beginning on page 15 of this prospectus for more information about how the Selling Stockholders may sell their respective shares of Class A common stock. The Selling Stockholders may be deemed “underwriters” within the meaning of Section 2(a)(11) of the Securities Act of 1933, as amended (the “Securities Act”).</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we agreed, pursuant to a securities purchase agreement, dated April 11, 2025, that we have entered into with the Selling Stockholders, to bear all of the expenses in connection with the registration of their Warrant Shares pursuant to this prospectus. The Selling Stockholders will pay or assume all commissions, discounts, fees of underwriters, agents, selling brokers or dealer managers and similar expenses, if any, attributable to their respective sales of the shares of Class A common stock.</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applicable Securities and Exchange Commission rules and, as such, have elected to comply with certain reduced public company disclosure requirements for this prospectus and future filings. See “Prospectus Summary— Implications of Being an Emerging Growth Company and a Smaller Reporting Company.”</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“MSGM.” On June 10, 2025, the closing price of our Class A common stock on the Nasdaq Capital Market was $2.875 per share.</w:t>
      </w:r>
    </w:p>
    <w:p>
      <w:pPr>
        <w:spacing w:after="0" w:line="158"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risks. You should review carefully the risks and uncertainties described under the heading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contained in this prospectus and under similar headings in the other documents that are incorporated by reference into this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as described beginning on page 3 of this prospectus.</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 The securities are not being offered in any jurisdiction where the offer is not permitted.</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1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2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2240" w:type="dxa"/>
            <w:vAlign w:val="bottom"/>
            <w:tcBorders>
              <w:bottom w:val="single" w:sz="8" w:color="0000EE"/>
            </w:tcBorders>
            <w:gridSpan w:val="9"/>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360" w:type="dxa"/>
            <w:vAlign w:val="bottom"/>
            <w:tcBorders>
              <w:bottom w:val="single" w:sz="8" w:color="CCEEFF"/>
            </w:tcBorders>
            <w:gridSpan w:val="7"/>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INDUSTRY AND MARKET DATA</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534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52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DETERMINATION OF THE OFFERING PRICE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PRIVATE PLACEMENT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into this prospectus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shares of Class A common stock offered hereby, but only under circumstances and in jurisdictions where it is lawful to do so. You should assume that the information in this prospectus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believe that the data obtained from these industry publications and third-party research, surveys and studies are reliable. We are ultimately responsible for all disclosure included in this prospectus.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are offering the shares of Class A common stock only in jurisdictions where such issuances are permitted. The distribution of this prospectus and the issuance of the shares of Class A common stock in certain jurisdictions may be restricted by law. Persons outside the United States who come into possession of this prospectus must inform themselves about, and observe any restrictions relating to, the issuance of the shares and the distribution of this prospectus outside the United States. This prospectus does not constitute, and may not be used in connection with, an offer to sell, or a solicitation of an offer to buy, the shares of Class A common stock offered by this prospectus by any person in any jurisdiction in which it is unlawful for such person to make such an offer or solicitation.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under which the Selling Stockholders may offer from time-to-time securities described herein in one or more offerings. If required, each time a Selling Stockholder offers shares, we will provide you with, in addition to this prospectus,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 This prospectus, together with any related free writing prospectuses and the documents incorporated by reference into this prospectus,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before buying any of the securities offered.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sections entitled “Where You Can Find Additional Information” and “Incorporation of Certain Information By Reference.”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indicated herein or as the context otherwise requires, references in this prospectus to “Motorsport Games,” “the Company,” “we,” “us,” “our” and similar references refer to Motorsport Games Inc., an entity incorporated under the laws of the State of Delaware.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data and certain industry data and forecasts used throughout this prospectus were obtained from sources we believe to be reliable, including market research databases, publicly available information, reports of governmental agencies and industry publications and surveys. We have relied on certain data from third-party sources, including internal surveys, industry forecasts and market research, which we believe to be reliable based on our management’s knowledge of the industry. Forecasts are particularly likely to be inaccurate, especially over long periods of time. In addition, we do not necessarily know what assumptions regarding general economic growth were used in preparing the third-party forecasts we cite. Statements as to our market position are based on the most currently available data. While we are not aware of any misstatements regarding the industry data presented in this prospectus and the documents incorporated by reference into this prospectus, our estimates involve risks and uncertainties and are subject to change based on various factors, including those discussed under the heading “Risk Factors” in this prospectus and the documents incorporated by reference into this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that involve risks and uncertainties. Our actual results could differ materially from those discussed in the forward-looking statements. The statements contained in this prospectus and the documents incorporated by reference herein that are not purely historical are forward-looking statements within the meaning of Section 27A of the Securities Act and Section 21E of the Securities Exchange Act of 1934, as amended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this section of the prospectus titled “Risk Factors.” Furthermore, such forward-looking statements speak only as of the date of this prospectus. Except as required by law, we undertake no obligation to update any forward-looking statements to reflect events or circumstances after the date of such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consider our forward-looking statements in light of those risks as you read this prospectus and the documents incorporated by reference herein.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and the documents incorporated by reference herein is accurate as of any date other than as of the date of this prospectus or that any information incorporated by reference into this prospectus is accurate as of any date other than the date of the document so incorporated by reference.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Thus, you should not assume that our silence over time means that actual events are bearing out as expressed or implied in such forward-looking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materializes, or if our underlying assumptions prove to be incorrect, actual results may vary materially from what we anticipate. All subsequent written and oral forward-looking statements attributable to us or individuals acting on our behalf are expressly qualified in their entirety by this Note. Before purchasing any shares of our Class A common stock, you should consider carefully all of the factors set forth or referred to in this prospectus and the documents incorporated by reference that could cause actual results to differ.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contains basic information about us and this offering. Because it is a summary, it does not contain all of the information that you should consider before deciding to invest in our securities. Before you decide to invest in our securities, you should read this entire prospectus carefully, any related free writing prospectus that we have authorized for use in connection with the offering and the documents incorporated by reference herein, including the information included under the heading titled “Risk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Motorsport Games is a racing game developer, publisher and esports ecosystem provider of official motorsport racing series, including the iconic 24 Hours of Le Mans endurance race (“Le Mans”) and the associated FIA World Endurance Championship (the “WEC”). Our portfolio also includes the KartKraft karting simulation game, as well as Studio 397 B.V. (“Studio397”) and their rFactor 2 realistic racing simulator technology and platform. rFactor 2 also powers F1® Arcade through a partnership with Kindred Concepts. Our purpose is to make the thrill of motorsports accessible to everyone by creating the highest quality, most sophisticated and innovative experiences for racers, gamers and fans of all ages. Our products and services target a large global motorsport audience.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develop and publish racing video games including for personal computers (“PCs”) through various digital channels, including full-game and downloadable content (“DLC”). We have obtained the official licenses to develop multi-platform games for the 24 Hours of Le Mans race and the WEC. We are also striving to become a leader in organizing and facilitating esports tournaments, competitions, and events for our licensed racing games.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3, 2023, we sold our NASCAR licensed rights under that certain Second Amended and Restated Distribution and License Agreement with NASCAR Team Properties (“NTP”) (the “NASCAR License”) to iRacing.com Motorsport Simulations, LLC. Prior to the sale of our NASCAR License, we had been the official video game developer and publisher for the NASCAR video game racing franchise and had the exclusive right to create and organize esports leagues and events for NASCAR using our NASCAR racing video games, in each case, subject to certain limited exceptions. Concurrently with the sale of our NASCAR License, we entered into an agreement with NTP pursuant to which we had a limited non-exclusive right and license to, among other things, sell our NASCAR games and DLCs that were in our product portfolio through December 31, 2024 (the “NASCAR New Limited License”). For the three months ended March 31, 2025 and 2024, 0% and 49% of our total revenue, respectively, was generated from sales of our NASCAR racing video games.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20, 2024, we released Le Mans Ultimate on PC in early access. Le Mans Ultimate is the official game of the WEC and 24 Hours of Le Mans, and is the first officially licensed and dedicated 24 Hours of Le Mans video game release in over twenty years.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uncertainty surrounding our ability to raise funding, and in light of our liquidity position and anticipated future funding requirements, we continue to explore other strategic alternatives and potential options for our business, including, but not limited to, the sale or licensing of certain of our assets in addition to the sales of our NASCAR License and Traxion, which was our motorsport and racing games community content platform. If any such additional strategic alternative is executed, it is expected it would help to improve our working capital position and reduce overhead expenditures, thereby lowering our expected future cash-burn, and provide some short-term liquidity relief. Nonetheless, even if we are successful in implementing one or more additional strategic alternatives, we will continue to require additional funding and/or further cost reduction measures in order to continue operations, which includes further restructuring of our business and operations. There are no assurances that we will be successful in implementing any additional strategic plans for the sale or licensing of our assets, or any other strategic alternative, which may be subject to the satisfaction of conditions beyond our control.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11, 2025, we entered into securities purchase agreements (collectively, the “Purchase Agreement”) with several institutional and accredited investors for the issuance and sale in a private placement (the “Private Placement”) of the following securities for gross proceeds of approximately $2.5 million: (i) 1,894,892 shares (the “Shares”) of our Class A common stock, par value $0.0001 (the “Class A common stock”) and (ii) a pre-funded warrant (the “Warrant”) to purchase up to 377,836 shares of Class A common stock (the “Warrant Shares”) at an exercise price of $0.0001 per share. The purchase price for one share of Class A common stock was $1.10 and the purchase price for one pre-funded warrant was $1.0999 per share. We received net proceeds of approximately $2.35 million from the Private Placement, after deducting estimated offering expenses payable by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 is exercisable commencing May 29, 2025 (which is twenty-one days after we mail a Definitive Information Statement on Schedule 14C with respect to stockholder approval of such exercise) and will not expire until exercised in full. The exercise price and number of Warrant Shares issuable upon exercise of the Warrant are subject to appropriate adjustment in the event of stock dividends, stock splits, reorganizations or similar events affecting our Class A common stock and the exercise price. The Warrant may be exercised, in whole or in part, at any time by means of a “cashless exercise.”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we agreed to prepare and file a registration statement with the SEC registering the resale of the Shares and the Warrant Shares no later than 45 days after the date of the Purchase Agreement, to use commercially reasonable efforts to have the registration statement declared effective as promptly as practicable thereafter, and to keep such registration statement effective at all times for a five-year period after the closing date.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Purchase Agreement, we are prohibited from issuing, entering into any agreement to issue or announcing the issuance or proposed issuance of any shares of Class A common stock or securities convertible or exercisable into Class A common stock for a period commencing on the date of the Purchase Agreement, and expiring four and one-half (4½) months thereafter in connection with a financing transaction without the prior written consent of purchasers that purchased at least 50.1% in interest in the securities issued upon closing of the Private Placement based on the initial subscription amounts under the Purchase Agreement. The Purchase Agreement further provides that the purchasers have the right to participate in certain subsequent financings in an amount equal to 100% of the amount of the subsequent financing (or 80% in the case of a public offering or an offering of securities registered under a shelf registration statement on Form S-3) on the same terms, conditions and price provided for in the subsequent financing (the “Right of First Refusal”). We agreed to seek, and obtained, stockholder approval for the granting of the Right of First Refusal, which stockholder approval was obtained prior to the closing date. The Right of First Refusal will be effective commencing on May 29, 2025 (from the date of that is twenty-one days after we mail a Definitive Information Statement on Schedule 14C with respect to such stockholder approval) until the first anniversary of the closing 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We mailed a Definitive Information Statement on Schedule 14C relating to the exercise of the Warrant and the Right of First Refusal on May 8, 2025.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Agreement provided that our board of directors (the “Board”) will appoint an individual designated by the purchasers that purchased at least 50.1% in interest in the securities issued upon closing of the Private Placement based on the initial subscription amounts under the Purchase Agreement to serve as a Class II director on the board for a term expiring at our 2026 annual meeting of stockholders. In accordance with the foregoing, Mr. Guoquan (Paul) Huang was appointed to the Board effective as of April 16, 2025. The Purchase Agreement further provides that the purchasers holding a 50.1% interest in the securities issued upon closing of the Private Placement shall have the right to appoint an individual to our management team, subject to Board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but are not limited to:</w:t>
      </w:r>
    </w:p>
    <w:p>
      <w:pPr>
        <w:spacing w:after="0" w:line="176" w:lineRule="exact"/>
        <w:rPr>
          <w:sz w:val="20"/>
          <w:szCs w:val="20"/>
          <w:color w:val="auto"/>
        </w:rPr>
      </w:pPr>
    </w:p>
    <w:p>
      <w:pPr>
        <w:ind w:left="660" w:right="2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only two years of audited financial statements in addition to any required unaudited interim financial statements with correspondingly reduced “Management’s Discussion and Analysis of Financial Condition and Results of Operations” in our Securities Act filings;</w:t>
      </w: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advisory votes on executive compensation or golden parachute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auditor attestation requirement in the assessment of our internal control over financial reporting pursuant to Section 404(b) of the Sarbanes Oxley Act of 2002 (“SOX”).</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for up to five (5) years or such earlier time that we are no longer an “emerging growth company.” We will continue to remain an “emerging growth company” until the earliest of the following: (i) the last day of the fiscal year following the fifth anniversary of the date of the completion of our initial public offering;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and have elected to take advantage of certain of the scaled disclosures available to smaller reporting companies. To the extent that we continue to qualify as a “smaller reporting company” as such term is defined in Rule 12b-2 under the Exchange Act, after we cease to qualify as an emerging growth company, certain of the exemptions available to us as an “emerging growth company” may continue to be available to us as a “smaller reporting company,” including exemption from compliance with the auditor attestation requirements pursuant to SOX and reduced disclosure about our executive compensation arrangements. We will continue to be a “smaller reporting company” until we have $250 million or more in public float (based on our common stock) measured as of the last business day of our most recently completed second fiscal quarter or, in the event we have no public float (based on our common stock) or a public float (based on our common stock) that is less than $700 million and annual revenues of $100 million or more during the most recently completed fiscal year.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the extended transition period for complying with new or revised financial accounting standards.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and uncertainties that you should be aware of in evaluating our business. In particular, you should carefully consider the following risks, which are discussed more fully in the section entitled “Risk Factors” in this prospectus and the documents incorporated by reference in this prospectus:</w:t>
      </w:r>
    </w:p>
    <w:p>
      <w:pPr>
        <w:spacing w:after="0" w:line="176"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we expect to continue to incur losses for the foreseeable future. Accordingly, our financial condition raises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meet our financial obligations, and this capital might not be available on acceptable terms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borrowing capacity under the $12 million Line of Credit may affect our ability to finance our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consistently deliver popular products or if consumers prefer competing products, our business will be negatively impacted.</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products are highly concentrated in the racing game genre, and our operating results may suffer if consumer preferences shift away from this genre.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provide high-quality products in a timely manner, our business operations, financial performance, financial condition, liquidity, cash flows and/or results of operations may be negatively impacted.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identifying and implementing one or more strategic alternatives for our business, and any strategic alternative that we may consummate could have material adverse consequences for us.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consumer spending and other adverse changes in economic, market and geopolitical conditions could have a material adverse effect on our business, financial condition and operating results.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relatively small number of franchises for a significant portion of our revenues and profits.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maintain licenses to intellectual property, especially for racing series, affects our revenue and profitability. Competition for these licenses may make them more expensive and increase our costs.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to generate a portion of our revenues from advertising and sponsorship during our esports events. If we fail to attract more advertisers and sponsors to our gaming platform, tournaments or competitions, our revenues will be adversely affected.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manage the transitions associated with certain of our executive officers, which could have an adverse impact on us.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the retention of certain key personnel and the hiring of strategically valuable personnel, and we may lose or be unable to hire one or more of such personnel.</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relies on our marketing and branding efforts, and these efforts may not be accepted by consumers to the extent we planned.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our intellectual property, technology and confidential information could harm our business and operating results.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Driven Lifestyle controls a significant portion of our Class A common stock and all of our Class B common stock and therefore has the ability to exert significant control over the direction of our business, which could prevent other stockholders from influencing significant decisions regarding our business plans and other matters.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 longer controlled by or affiliated with Driven Lifestyle, we may be unable to continue to benefit from that relationship, which may adversely affect our operations and have a material adverse effect on us and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current business and future prospects, and we may not be able to effectively grow our business or implement our business strategies.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and we cannot be certain if the reduced disclosure requirements applicable to us will make our Class A common stock less attractive to investors.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may be delisted from Nasdaq, which could affect the market price and liquidity of our Class A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may adversely affect the trading market for our Class A common stock.</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0" w:name="page11"/>
    <w:bookmarkEnd w:id="10"/>
    <w:p>
      <w:pPr>
        <w:spacing w:after="0" w:line="200" w:lineRule="exact"/>
        <w:rPr>
          <w:sz w:val="20"/>
          <w:szCs w:val="20"/>
          <w:color w:val="auto"/>
        </w:rPr>
      </w:pPr>
    </w:p>
    <w:p>
      <w:pPr>
        <w:spacing w:after="0" w:line="22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 Stockholders</w:t>
      </w:r>
    </w:p>
    <w:p>
      <w:pPr>
        <w:spacing w:after="0" w:line="371"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8"/>
          <w:szCs w:val="18"/>
          <w:b w:val="1"/>
          <w:bCs w:val="1"/>
          <w:color w:val="auto"/>
        </w:rPr>
        <w:t>Class A common stock to be outstanding after this offering</w:t>
      </w:r>
      <w:r>
        <w:rPr>
          <w:rFonts w:ascii="Times New Roman" w:cs="Times New Roman" w:eastAsia="Times New Roman" w:hAnsi="Times New Roman"/>
          <w:sz w:val="29"/>
          <w:szCs w:val="29"/>
          <w:b w:val="1"/>
          <w:bCs w:val="1"/>
          <w:color w:val="auto"/>
          <w:vertAlign w:val="superscript"/>
        </w:rPr>
        <w:t>(1)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the Warrant Shares</w: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8"/>
          <w:szCs w:val="18"/>
          <w:color w:val="auto"/>
        </w:rPr>
        <w:t>THE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2,272,728 shares of our Class A common stock, which consists of: (i) 1,894,892 Shares issued upon the closing of the Private Placement and (ii) up to 377,836 Warrant Shares issuable upon the exercise of the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5,456,286 shares of Class A common stock, assuming the exercise in full of the Warrant.</w:t>
      </w:r>
    </w:p>
    <w:p>
      <w:pPr>
        <w:spacing w:after="0" w:line="200" w:lineRule="exact"/>
        <w:rPr>
          <w:sz w:val="20"/>
          <w:szCs w:val="20"/>
          <w:color w:val="auto"/>
        </w:rPr>
      </w:pPr>
    </w:p>
    <w:p>
      <w:pPr>
        <w:spacing w:after="0" w:line="2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Purchase Agreement, we agreed to file the registration statement, of which this prospectus forms a part, with respect to the registration of the resale of the Shares and the Warrant Shares before the 45th calendar day following the date of the Purchase Agreement, and to use commercially reasonable efforts to cause such registration statement to become effective as promptly as practicable and keep such registration statement effective at all times for five (5) years or until all of the Shares and Warrant Shares are sold by the Selling Stockholders, whichever is later. The registration statement on Form S-3, of which this prospectus forms a part, is being filed to satisfy the requirement to register for resale the Warrant Shares.</w:t>
      </w:r>
    </w:p>
    <w:p>
      <w:pPr>
        <w:spacing w:after="0" w:line="188" w:lineRule="exact"/>
        <w:rPr>
          <w:sz w:val="20"/>
          <w:szCs w:val="20"/>
          <w:color w:val="auto"/>
        </w:rPr>
      </w:pPr>
    </w:p>
    <w:p>
      <w:pPr>
        <w:sectPr>
          <w:pgSz w:w="11900" w:h="16838" w:orient="portrait"/>
          <w:cols w:equalWidth="0" w:num="2">
            <w:col w:w="3320" w:space="300"/>
            <w:col w:w="7620"/>
          </w:cols>
          <w:pgMar w:left="320" w:top="688" w:right="339" w:bottom="144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The Selling Stockholders will receive all of the proceeds of the sale of shares of Class A common stock</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offered from time to time pursuant to this prospectus. Accordingly, we will not receive any proceeds from</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sale of shares of Class A common stock that may be sold from time to time pursuant to this</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prospectus. See “Use of Proceeds.” We intend to use the proceeds from any cash exercise of the Warrant</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for working capital purposes.</w:t>
      </w:r>
    </w:p>
    <w:p>
      <w:pPr>
        <w:spacing w:after="0" w:line="203"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Plan of Distribution</w:t>
      </w:r>
      <w:r>
        <w:rPr>
          <w:sz w:val="20"/>
          <w:szCs w:val="20"/>
          <w:color w:val="auto"/>
        </w:rPr>
        <w:tab/>
      </w:r>
      <w:r>
        <w:rPr>
          <w:rFonts w:ascii="Times New Roman" w:cs="Times New Roman" w:eastAsia="Times New Roman" w:hAnsi="Times New Roman"/>
          <w:sz w:val="18"/>
          <w:szCs w:val="18"/>
          <w:color w:val="auto"/>
        </w:rPr>
        <w:t>The Selling Stockholders named in this prospectus, or their pledgees, donees, transferees, distributees,</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beneficiaries or other successors-in-interest, may offer or sell the shares of Class A common stock</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offered hereby from time to time through public or private transactions at prevailing market prices, at</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prices related to prevailing market prices or at privately negotiated prices. The Selling Stockholders may</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also resell the shares of Class A common stock to or through underwriters, broker-dealers or agents, who</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may receive compensation in the form of discounts, concessions or commissions.</w:t>
      </w:r>
    </w:p>
    <w:p>
      <w:pPr>
        <w:spacing w:after="0" w:line="203"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See “Risk Factors” beginning on page 9 of this prospectus and in the documents incorporated by</w:t>
      </w:r>
    </w:p>
    <w:p>
      <w:pPr>
        <w:spacing w:after="0" w:line="31" w:lineRule="exact"/>
        <w:rPr>
          <w:sz w:val="20"/>
          <w:szCs w:val="20"/>
          <w:color w:val="auto"/>
        </w:rPr>
      </w:pPr>
    </w:p>
    <w:p>
      <w:pPr>
        <w:ind w:left="3620"/>
        <w:spacing w:after="0" w:line="260" w:lineRule="auto"/>
        <w:rPr>
          <w:sz w:val="20"/>
          <w:szCs w:val="20"/>
          <w:color w:val="auto"/>
        </w:rPr>
      </w:pPr>
      <w:r>
        <w:rPr>
          <w:rFonts w:ascii="Times New Roman" w:cs="Times New Roman" w:eastAsia="Times New Roman" w:hAnsi="Times New Roman"/>
          <w:sz w:val="18"/>
          <w:szCs w:val="18"/>
          <w:color w:val="auto"/>
        </w:rPr>
        <w:t>reference in this prospectus and the other information included in this prospectus for a discussion of factors you should carefully consider before investing in our securities.</w:t>
      </w:r>
    </w:p>
    <w:p>
      <w:pPr>
        <w:spacing w:after="0" w:line="177"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Nasdaq Capital Market trading symbol</w:t>
      </w:r>
      <w:r>
        <w:rPr>
          <w:sz w:val="20"/>
          <w:szCs w:val="20"/>
          <w:color w:val="auto"/>
        </w:rPr>
        <w:tab/>
      </w:r>
      <w:r>
        <w:rPr>
          <w:rFonts w:ascii="Times New Roman" w:cs="Times New Roman" w:eastAsia="Times New Roman" w:hAnsi="Times New Roman"/>
          <w:sz w:val="17"/>
          <w:szCs w:val="17"/>
          <w:color w:val="auto"/>
        </w:rPr>
        <w:t>Our Class A common stock is listed on the Nasdaq Capital Market under the symbol “MSGM.”</w:t>
      </w:r>
    </w:p>
    <w:p>
      <w:pPr>
        <w:spacing w:after="0" w:line="22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that will be outstanding immediately after this offering as shown above is based on 5,078,450 shares outstanding as of May 28, 2025, includes 377,836 Warrant Shares issuable upon the exercise of the Warrant, and unless otherwise indicated excludes:</w:t>
      </w:r>
    </w:p>
    <w:p>
      <w:pPr>
        <w:spacing w:after="0" w:line="176"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96,828 shares of our Class A common stock issuable upon the exercise of outstanding stock options with a weighted average exercise price of $61.76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3,172 additional shares of our Class A common stock reserved for future issuance under our equity incentive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33,574 shares of our Class A common stock to be issued upon exercise of outstanding warrants having a weighted average exercise price ranging from $21.74 to $29.38 per share;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949,310 shares of Class A common stock to be issued upon exercise of outstanding warrants having a weighted average exercise price ranging from $2.17 to $2.7125 per share, which warrants were issued in connection with a securities purchase agreement entered into on July 26, 2024. These warrants will become exercisable on the effective date of the stockholder approval for the issuance of the shares of Class A common stock issuable upon exercise thereof. As of May 28, 2025, such issuances have not been approved by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RISK FACTORS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and evaluate all of the information contained in this prospectus and in the documents we incorporate by reference into this prospectus before you decide to purchase our shares of Class A common stock. In particular, you should carefully consider and evaluate the risks and uncertainties described under the heading “Risk Factors” in our most recent Annual Report on Form 10-K, as updated by annual, quarterly and other reports and documents that we file with the SEC and incorporate by reference into this prospectus, or any prospectus, including the risks we face described below, which risks could materially and adversely affect our business, results of operations and financial condition, which in turn could materially and adversely affect the value of the shares of our Class A common stock offered by this prospectus. Our business, financial condition, results of operations and prospects could be materially and adversely affected by these risks. As a result, you could lose all or part of your investment.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this Offering</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our Class A common stock in the public market by our stockholders as a result of this offering may cause the market price of our Class A common stock to fall.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registering Class A common stock issued upon the closing of the Private Placement and issuable upon the exercise of the Warrant. Sales of substantial amounts of our Class A common stock in the public market, or the perception that such sales might occur, could adversely affect the market price of our Class A common stock. The issuance of new shares of Class A common stock could result in resales of our Class A common stock by our current stockholders concerned about the potential ownership dilution of their holdings. Furthermore, in the future, we may issue additional shares of Class A common stock or other equity or debt securities exercisable or convertible into Class A common stock. Any such issuance could result in substantial dilution to our existing stockholders and could cause our stock price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The Selling Stockholders may sell such shares at different times and at different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additional securities available for issuance, which, if issued, could adversely affect the rights of the holders of our Class A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time-to-time issue additional shares of Class A common stock or preferred stock. In addition, as opportunities present themselves, we may enter into financing or similar arrangements in the future, including the issuance of debt securities, Class A common stock or preferred stock. Any future issuances of Class A common stock or securities convertible into Class A common stock, would further dilute the percentage ownership of us held by holders of Class A common stock. In addition, the issuance of certain securities, may be used as an “anti-takeover” device without further action on the part of our stockholders, and may adversely affect the holders of the Class A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not declare cash dividends on our Class A common stock in the foreseeable future, stockholders must rely on appreciation of the value of our Class A common stock for any return on their investment.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Class A common stock. We currently anticipate that we will retain all available funds and future earnings, if any, to fund the development and growth of our business and will not declare or pay any cash dividends in the foreseeable future. As a result, only appreciation of the price of our Class A common stock, if any, will provide a return to investors in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need for future financing may result in the issuance of additional securities which will cause investors to experience dilution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requirements may vary from those now planned depending upon numerous factors. We expect to require additional capital until our operations generate sufficient revenue to cover our expenses. Accordingly, we will need to obtain substantial additional funding in connection with our continuing operations. There are no other commitments by any person for future financing. Our securities may be offered to other investors at a price lower than the price per share offered to current stockholders, or upon terms which may be deemed more favorable than those offered to current stockholders. In addition, the issuance of securities in any future financing may dilute an investor’s equity ownership and have the effect of depressing the market price for our securities. Moreover, we may issue derivative securities, including options and/or warrants, from time to time, to procure qualified personnel or for other business reasons. The issuance of any such derivative securities, which is at the discretion of our Board of Directors, may further dilute the equity ownership of our stockholders.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proceeds of the sale of shares of Class A common stock offered from time to time pursuant to this prospectus. Accordingly, we will not receive any proceeds from the sale of shares of Class A common stock that may be sold from time to time pursuant to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the shares of Class A common stock registered hereby, which may be resold by the Selling Stockholders pursuant to this prospectus. Other than registration expenses, such as SEC fees and legal and accounting expenses, which we will bear, the Selling Stockholders will bear any underwriting discounts, commissions, placement agent fees or other similar expenses payable with respect to sales of the shares of Class A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DIVIDEND POLICY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declared or paid dividends to holders of our Class A common stock since inception and do not plan to pay cash dividends in the foreseeable future to the holders of our Class A common stock. We currently intend to retain earnings, if any, to finance our growth.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DETERMINATION OF THE OFFERING PRICE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prices at which the shares of our Class A common stock covered by this prospectus may actually be sold by the Selling Stockholders will be determined by the prevailing public market price for shares of our Class A common stock or by negotiations between the Selling Stockholders and the buyer or buyers of our Class A common stock in private transactions or as otherwise described in the section of this prospectus entitled “Plan of Distribution.”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DESCRIPTION OF THE PRIVATE PLACEMENT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11, 2025, we entered into the Purchase Agreements with several institutional and accredited investors for the issuance and sale in the Private Placement of the following securities for gross proceeds of approximately $2.5 million: (i) 1,894,892 Shares and (ii) the Warrant to purchase up to 377,836 Warrant Shares at an exercise price of $0.0001 per share. The purchase price for one share of Class A common stock was $1.10 and the purchase price for one Warrant was $1.0999 per share. We received net proceeds of approximately $2.35 million from the Private Placement, after deducting estimated offering expenses payable by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 is exercisable commencing on May 29, 2025 (twenty-one days after we mail a Definitive Information Statement on Schedule 14C with respect to stockholder approval of such exercise) and will not expire until exercised in full. The exercise price and number of Warrant Shares issuable upon exercise of the Warrant are subject to appropriate adjustment in the event of stock dividends, stock splits, reorganizations or similar events affecting our Class A common stock and the exercise price. The Warrant may be exercised, in whole or in part, at any time by means of a “cashless exercise.”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we agreed to prepare and file a registration statement with the SEC registering the resale of the Shares and the Warrant Shares no later than 45 days after the date of the Purchase Agreement, to use commercially reasonable efforts to have the registration statement declared effective as promptly as practicable thereafter, and to keep such registration statement effective at all times for a five-year period after the closing date.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Purchase Agreement, we are prohibited from issuing, entering into any agreement to issue or announcing the issuance or proposed issuance of any shares of Class A common stock or securities convertible or exercisable into Class A common stock for a period commencing on the date of the Purchase Agreement, and expiring four and one-half (4½) months thereafter in connection with a financing transaction without the prior written consent of purchasers that purchased at least 50.1% in interest in the securities issued upon closing of the Private Placement based on the initial subscription amounts under the Purchase Agreement. The Purchase Agreement further provides that the purchasers have the right to participate in certain subsequent financings in an amount equal to 100% of the amount of the subsequent financing (or 80% in the case of a public offering or an offering of securities registered under a shelf registration statement on Form S-3) on the same terms, conditions and price provided for in the subsequent financing. We agreed to seek, and obtained, stockholder approval for the granting of the Right of First Refusal, which stockholder approval was obtained prior to the closing date. The Right of First Refusal will be effective from May 29, 2025 (which is the date of that is twenty-one days after we mail a Definitive Information Statement on Schedule 14C with respect to such stockholder approval) until the first anniversary of the closing 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mailed a Definitive Information Statement on Schedule 14C relating to the exercise of the Warrant and the Right of First Refusal on May 8,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provided that the Board will appoint an individual designated by the purchasers that purchased at least 50.1% in interest in the securities issued upon closing of the Private Placement based on the initial subscription amounts under the Purchase Agreement to serve as a Class II director on the board for a term expiring at our 2026 annual meeting of stockholders. In accordance with the foregoing, Mr. Guoquan (Paul) Huang was appointed to the Board effective as of April 16, 2025. The Purchase Agreement further provides that the purchasers holding a 50.1% interest in the securities issued upon closing of the Private Placement shall have the right to appoint an individual to our management team, subject to Board approval.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SELLING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of our Class A common stock being offered by the Selling Stockholders are those Shares issued to the Selling Stockholders in the Private Placement and those Warrant Shares issuable to the Selling Stockholders upon exercise of the Warrant. For additional information regarding the issuances of the Shares and the Warrant, see “Description of the Private Placement” elsewhere in this prospectus. We are registering the shares of our Class A common stock in order to permit the Selling Stockholders to offer the shares of Class A common stock for resale from time to time. Other than the ownership of the Shares and the Warrant, the Selling Stockholders have not had any material relationship with us within the past three years, except that Mr. Guoquan (Paul) Huang was appointed to the Board effective as of April 16, 2025 pursuant to the Purchase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our Class A common stock by each of the Selling Stockholders. The second column lists the number of shares of our Class A common stock beneficially owned by each of the Selling Stockholders, including its ownership of the Shares and the Warrant Shares, as of May 28, 2025, assuming exercise in full of the Warrant on that date, without regard to any limitations on exercises. As of May 28, 2025 (and prior to this offering), we had 5,078,450 shares of our Class A common stock outstanding. Assuming the exercise in full of the Warrant and the issuance of the Warrant Shares, we will have 5,456,286 shares of our Class A common stock outstanding as of May 28,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third column lists the maximum number of shares of our Class A common stock being offered by this prospectus by the Selling Stockholders without regard to any limitations on the exercise of the Warrant. In accordance with the terms of the Warrant, this prospectus generally covers the resale of the maximum number of shares of our Class A common stock issuable upon exercise of the Warrant, determined as if the outstanding Warrant were exercised in full as of the trading day immediately preceding May 28, 2025, without regard to any limitations on the exercise of the Warrant. The fourth and fifth columns assume the sale of all of the Shares and Warrant Shares offered by the Selling Stockholders pursuant to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sell all, some or none of their shares in this offering. See “Plan of Distribution.”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65"/>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center"/>
              <w:ind w:right="365"/>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65"/>
              <w:spacing w:after="0"/>
              <w:rPr>
                <w:sz w:val="20"/>
                <w:szCs w:val="20"/>
                <w:color w:val="auto"/>
              </w:rPr>
            </w:pPr>
            <w:r>
              <w:rPr>
                <w:rFonts w:ascii="Times New Roman" w:cs="Times New Roman" w:eastAsia="Times New Roman" w:hAnsi="Times New Roman"/>
                <w:sz w:val="18"/>
                <w:szCs w:val="18"/>
                <w:b w:val="1"/>
                <w:bCs w:val="1"/>
                <w:color w:val="auto"/>
              </w:rPr>
              <w:t>of Common</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65"/>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Common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85"/>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65"/>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65"/>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 this</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70"/>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Stockholders</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(1)</w:t>
            </w:r>
          </w:p>
        </w:tc>
        <w:tc>
          <w:tcPr>
            <w:tcW w:w="4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Offering</w:t>
            </w:r>
            <w:r>
              <w:rPr>
                <w:rFonts w:ascii="Times New Roman" w:cs="Times New Roman" w:eastAsia="Times New Roman" w:hAnsi="Times New Roman"/>
                <w:sz w:val="29"/>
                <w:szCs w:val="29"/>
                <w:b w:val="1"/>
                <w:bCs w:val="1"/>
                <w:color w:val="auto"/>
                <w:w w:val="92"/>
                <w:vertAlign w:val="superscript"/>
              </w:rPr>
              <w:t>(2)</w:t>
            </w: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(3)</w:t>
            </w:r>
          </w:p>
        </w:tc>
        <w:tc>
          <w:tcPr>
            <w:tcW w:w="100" w:type="dxa"/>
            <w:vAlign w:val="bottom"/>
            <w:tcBorders>
              <w:bottom w:val="single" w:sz="8" w:color="CCEEFF"/>
            </w:tcBorders>
          </w:tcPr>
          <w:p>
            <w:pPr>
              <w:spacing w:after="0"/>
              <w:rPr>
                <w:sz w:val="23"/>
                <w:szCs w:val="23"/>
                <w:color w:val="auto"/>
              </w:rPr>
            </w:pPr>
          </w:p>
        </w:tc>
      </w:tr>
      <w:tr>
        <w:trPr>
          <w:trHeight w:val="250"/>
        </w:trPr>
        <w:tc>
          <w:tcPr>
            <w:tcW w:w="49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Sharp Arrow Global Tech Ventures L.P. </w:t>
            </w:r>
            <w:r>
              <w:rPr>
                <w:rFonts w:ascii="Times New Roman" w:cs="Times New Roman" w:eastAsia="Times New Roman" w:hAnsi="Times New Roman"/>
                <w:sz w:val="28"/>
                <w:szCs w:val="28"/>
                <w:color w:val="auto"/>
                <w:vertAlign w:val="superscript"/>
              </w:rPr>
              <w:t>(4)</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1,463,637</w:t>
            </w:r>
          </w:p>
        </w:tc>
        <w:tc>
          <w:tcPr>
            <w:tcW w:w="4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(4)</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1,463,637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Hailu Yu </w:t>
            </w:r>
            <w:r>
              <w:rPr>
                <w:rFonts w:ascii="Times New Roman" w:cs="Times New Roman" w:eastAsia="Times New Roman" w:hAnsi="Times New Roman"/>
                <w:sz w:val="29"/>
                <w:szCs w:val="29"/>
                <w:color w:val="auto"/>
                <w:vertAlign w:val="superscript"/>
              </w:rPr>
              <w:t>(5)</w:t>
            </w:r>
          </w:p>
        </w:tc>
        <w:tc>
          <w:tcPr>
            <w:tcW w:w="168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268,182</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268,182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Yan TANG </w:t>
            </w:r>
            <w:r>
              <w:rPr>
                <w:rFonts w:ascii="Times New Roman" w:cs="Times New Roman" w:eastAsia="Times New Roman" w:hAnsi="Times New Roman"/>
                <w:sz w:val="29"/>
                <w:szCs w:val="29"/>
                <w:color w:val="auto"/>
                <w:vertAlign w:val="superscript"/>
              </w:rPr>
              <w:t>(6)</w:t>
            </w:r>
          </w:p>
        </w:tc>
        <w:tc>
          <w:tcPr>
            <w:tcW w:w="1680" w:type="dxa"/>
            <w:vAlign w:val="bottom"/>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268,182</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268,182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1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Guoquan Huang </w:t>
            </w:r>
            <w:r>
              <w:rPr>
                <w:rFonts w:ascii="Times New Roman" w:cs="Times New Roman" w:eastAsia="Times New Roman" w:hAnsi="Times New Roman"/>
                <w:sz w:val="29"/>
                <w:szCs w:val="29"/>
                <w:color w:val="auto"/>
                <w:vertAlign w:val="superscript"/>
              </w:rPr>
              <w:t>(7)</w:t>
            </w:r>
          </w:p>
        </w:tc>
        <w:tc>
          <w:tcPr>
            <w:tcW w:w="168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181,818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181,818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Fei Xu </w:t>
            </w:r>
            <w:r>
              <w:rPr>
                <w:rFonts w:ascii="Times New Roman" w:cs="Times New Roman" w:eastAsia="Times New Roman" w:hAnsi="Times New Roman"/>
                <w:sz w:val="29"/>
                <w:szCs w:val="29"/>
                <w:color w:val="auto"/>
                <w:vertAlign w:val="superscript"/>
              </w:rPr>
              <w:t>(8)</w:t>
            </w:r>
          </w:p>
        </w:tc>
        <w:tc>
          <w:tcPr>
            <w:tcW w:w="1680" w:type="dxa"/>
            <w:vAlign w:val="bottom"/>
            <w:gridSpan w:val="2"/>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90,909</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90,909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set forth in this column does not reflect the application of any limitations on the exercise of the Warrant.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1,894,892 Shares and (ii) 377,836 Warrant Shares. The number of shares set forth in this column does not reflect the application of any limitations on the exercise of the Warrant.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5,456,286 shares of our Class A common stock outstanding as of May 28, 2025, which assumes the exercise in full of the Warrant and the issuance of the Warrant Shares and the sale of all Shares and Warrant Shares.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prior to this Offering consist of 1,085,801 Shares of Class A common stock and 377,836 Warrant Shares. Zhibin Weng, General Partner of Sharp Arrow Global Tech Ventures L.P. (“Sharp Arrow”), has sole voting and investment control of the shares beneficially owned by Sharp Arrow. The address of Sharp Arrow is 254 Peoples Way, Hockessin, DE 19707.</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Class A common stock. The address of the Selling Stockholder is G/F-2/F, Yee Wah Mansion, 38-40A Yee Wo Street, Causeway Bay, Hong Kong.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Class A common stock. The address of the Selling Stockholder is 18 S Second St, San Jose, CA 95113.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Class A common stock. The address of Mr. Huang is 121 Cardinal Cir., Hockessin, DE 19707.</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Class A common stock. The address of the Selling Stockholder is 1868 W 34th Avenue, Vancouver, B.C Canada V6M1G1.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its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Stockholders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Stockholders has informed us that it does not have any written or oral agreement or understanding, directly or indirectly, with any person to distribute the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at all times for five (5) years or until all of the Shares and Warrant Shares are sold by the Selling Stockholders, whichever is later. Under applicable rules and regulations under the Exchange Act, any person engaged in the distribution of the resale securities may not simultaneously engage in market making activities with respect to the Class A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Class A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LEGAL MATTERS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Blank Rome LLP, New York, New York will pass upon the validity of the shares of our Class A common stock being registered by the registration statement of which this prospectus is a part.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EXPERTS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Motorsport Games Inc. as of December 31, 2024 and for the fiscal year then ended, incorporated by reference in this prospectus and elsewhere in the registration statement, have been so incorporated by reference in reliance upon the report of Grassi &amp; Co., CPAs, P.C., an independent registered public accounting firm, upon the authority of said firm as experts in accounting and auditing.</w:t>
      </w: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Motorsport Games Inc. as of December 31, 2023 and for the fiscal year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WHERE YOU CAN FIND ADDITIONAL INFORMATION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Additional information about Motorsport Games Inc. is contained at our website,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Information on our website is not incorporated by reference into this prospectus. We make available on our website our SEC filings as soon as reasonably practicable after those reports are filed with the SEC.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made with the SEC (other than any portions of any such documents that are not deemed “filed” under the Exchange Act in accordance with the Exchange Act and applicable SEC rules) under Sections 13(a), 13(c), 14 or 15(d) of the Exchange Act including (i) after the date of the initial filing of the registration statement of which this prospectus forms a part and prior to effectiveness of the registration statement, or (ii) after the date of this prospectus and before the termination of the offerings of the securities included in this prospectus:</w:t>
      </w:r>
    </w:p>
    <w:p>
      <w:pPr>
        <w:spacing w:after="0" w:line="18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20, 2025 (File No. 001-39868);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9, 2025 (File No. 001-39868);</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0">
        <w:r>
          <w:rPr>
            <w:rFonts w:ascii="Times New Roman" w:cs="Times New Roman" w:eastAsia="Times New Roman" w:hAnsi="Times New Roman"/>
            <w:sz w:val="18"/>
            <w:szCs w:val="18"/>
            <w:u w:val="single" w:color="auto"/>
            <w:color w:val="0000EE"/>
          </w:rPr>
          <w:t>February 4, 2025</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February 26,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February 28,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March 7, 2025</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April 1,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April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April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April 22,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 xml:space="preserve">April 28, 2025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001-39868);</w:t>
      </w:r>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21, 2025 (File No. 001-39868);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information statement on </w:t>
      </w:r>
      <w:hyperlink r:id="rId40">
        <w:r>
          <w:rPr>
            <w:rFonts w:ascii="Times New Roman" w:cs="Times New Roman" w:eastAsia="Times New Roman" w:hAnsi="Times New Roman"/>
            <w:sz w:val="18"/>
            <w:szCs w:val="18"/>
            <w:u w:val="single" w:color="auto"/>
            <w:color w:val="0000EE"/>
          </w:rPr>
          <w:t>Schedule 14C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8, 2025 (File No. 001-39868);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set forth in (i) our registration statement on Form </w:t>
      </w:r>
      <w:hyperlink r:id="rId41">
        <w:r>
          <w:rPr>
            <w:rFonts w:ascii="Times New Roman" w:cs="Times New Roman" w:eastAsia="Times New Roman" w:hAnsi="Times New Roman"/>
            <w:sz w:val="18"/>
            <w:szCs w:val="18"/>
            <w:u w:val="single" w:color="auto"/>
            <w:color w:val="0000EE"/>
          </w:rPr>
          <w:t>8-A12B</w:t>
        </w:r>
      </w:hyperlink>
      <w:r>
        <w:rPr>
          <w:rFonts w:ascii="Times New Roman" w:cs="Times New Roman" w:eastAsia="Times New Roman" w:hAnsi="Times New Roman"/>
          <w:sz w:val="18"/>
          <w:szCs w:val="18"/>
          <w:color w:val="auto"/>
        </w:rPr>
        <w:t xml:space="preserve">, filed with the SEC on January 7, 2021 (File No. 001-39868) and (ii) </w:t>
      </w:r>
      <w:hyperlink r:id="rId42">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20, 2025 (File No. 001-39868) entitled “Description of Motorsport Games Inc.’s Securities Registered under Section 12 of the Exchange Act.”</w:t>
      </w:r>
    </w:p>
    <w:p>
      <w:pPr>
        <w:spacing w:after="0" w:line="180"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the accompanying base prospectus or in a document incorporated or deemed to be incorporated by reference herein or therein, shall be deemed to be modified or superseded to the extent that a statement contained herein, or in any subsequent prospectus or in any subsequently filed document that also is incorporated or deemed to be incorporated by reference herein or therein, modifies or supersedes such statement. Any statement so modified or superseded shall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obtain, free of charge, a copy of any of these documents (other than exhibits to these documents unless the exhibits are specifically incorporated by reference into these documents or referred to in this prospectus) from our website (</w:t>
      </w:r>
      <w:r>
        <w:rPr>
          <w:rFonts w:ascii="Times New Roman" w:cs="Times New Roman" w:eastAsia="Times New Roman" w:hAnsi="Times New Roman"/>
          <w:sz w:val="18"/>
          <w:szCs w:val="18"/>
          <w:i w:val="1"/>
          <w:iCs w:val="1"/>
          <w:color w:val="auto"/>
        </w:rPr>
        <w:t>www.motorsportgames.com</w:t>
      </w:r>
      <w:r>
        <w:rPr>
          <w:rFonts w:ascii="Times New Roman" w:cs="Times New Roman" w:eastAsia="Times New Roman" w:hAnsi="Times New Roman"/>
          <w:sz w:val="18"/>
          <w:szCs w:val="18"/>
          <w:color w:val="auto"/>
        </w:rPr>
        <w:t>) or by writing or calling us at the following address and telephone number:</w:t>
      </w:r>
    </w:p>
    <w:p>
      <w:pPr>
        <w:spacing w:after="0" w:line="17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507-8799</w:t>
      </w:r>
    </w:p>
    <w:p>
      <w:pPr>
        <w:spacing w:after="0" w:line="206"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2,272,728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164465</wp:posOffset>
            </wp:positionV>
            <wp:extent cx="2854325" cy="522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2854325" cy="52260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Motorsport Games Inc.</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311150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68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30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jpeg"/><Relationship Id="rId45" Type="http://schemas.openxmlformats.org/officeDocument/2006/relationships/image" Target="media/image23.png"/><Relationship Id="rId28" Type="http://schemas.openxmlformats.org/officeDocument/2006/relationships/hyperlink" Target="https://www.sec.gov/Archives/edgar/data/1821175/000149315225011033/form10-k.htm" TargetMode="External"/><Relationship Id="rId29" Type="http://schemas.openxmlformats.org/officeDocument/2006/relationships/hyperlink" Target="https://www.sec.gov/Archives/edgar/data/1821175/000164117225009451/form10-q.htm" TargetMode="External"/><Relationship Id="rId30" Type="http://schemas.openxmlformats.org/officeDocument/2006/relationships/hyperlink" Target="https://www.sec.gov/Archives/edgar/data/1821175/000149315225004785/form8-k.htm" TargetMode="External"/><Relationship Id="rId31" Type="http://schemas.openxmlformats.org/officeDocument/2006/relationships/hyperlink" Target="https://www.sec.gov/Archives/edgar/data/1821175/000149315225008338/from8-k.htm" TargetMode="External"/><Relationship Id="rId32" Type="http://schemas.openxmlformats.org/officeDocument/2006/relationships/hyperlink" Target="https://www.sec.gov/Archives/edgar/data/1821175/000149315225008710/form8-k.htm" TargetMode="External"/><Relationship Id="rId33" Type="http://schemas.openxmlformats.org/officeDocument/2006/relationships/hyperlink" Target="https://www.sec.gov/Archives/edgar/data/1821175/000149315225009532/form8-k.htm" TargetMode="External"/><Relationship Id="rId34" Type="http://schemas.openxmlformats.org/officeDocument/2006/relationships/hyperlink" Target="https://www.sec.gov/Archives/edgar/data/1821175/000164117225002052/form8-k.htm" TargetMode="External"/><Relationship Id="rId35" Type="http://schemas.openxmlformats.org/officeDocument/2006/relationships/hyperlink" Target="https://www.sec.gov/Archives/edgar/data/1821175/000164117225004587/form8-k.htm" TargetMode="External"/><Relationship Id="rId36" Type="http://schemas.openxmlformats.org/officeDocument/2006/relationships/hyperlink" Target="https://www.sec.gov/Archives/edgar/data/1821175/000164117225005261/form8-k.htm" TargetMode="External"/><Relationship Id="rId37" Type="http://schemas.openxmlformats.org/officeDocument/2006/relationships/hyperlink" Target="https://www.sec.gov/Archives/edgar/data/1821175/000164117225005718/form8-k.htm" TargetMode="External"/><Relationship Id="rId38" Type="http://schemas.openxmlformats.org/officeDocument/2006/relationships/hyperlink" Target="https://www.sec.gov/Archives/edgar/data/1821175/000164117225006426/form8-k.htm" TargetMode="External"/><Relationship Id="rId39" Type="http://schemas.openxmlformats.org/officeDocument/2006/relationships/hyperlink" Target="https://www.sec.gov/Archives/edgar/data/1821175/000149315225011139/formdef14a.htm" TargetMode="External"/><Relationship Id="rId40" Type="http://schemas.openxmlformats.org/officeDocument/2006/relationships/hyperlink" Target="https://www.sec.gov/Archives/edgar/data/1821175/000164117225009277/formdef14c.htm" TargetMode="External"/><Relationship Id="rId41" Type="http://schemas.openxmlformats.org/officeDocument/2006/relationships/hyperlink" Target="https://www.sec.gov/Archives/edgar/data/1821175/000149315221000471/form8a12b.htm" TargetMode="External"/><Relationship Id="rId42" Type="http://schemas.openxmlformats.org/officeDocument/2006/relationships/hyperlink" Target="https://www.sec.gov/Archives/edgar/data/1821175/000149315223008878/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2025-06-12T08:24:03Z</dcterms:created>
  <dcterms:modified xsi:type="dcterms:W3CDTF">2025-06-12T08:24:03Z</dcterms:modified>
</cp:coreProperties>
</file>