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333-262462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142875</wp:posOffset>
            </wp:positionV>
            <wp:extent cx="341185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1185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232,188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relates to the issuance and sale of 232,188 shares of the Class A Common Stock, par value $0.0001 per share (“Common Stock”), of Motorsport Games Inc. (“Company”, “Motorsport Games”, “us” or “we”) to institutional investors (the “Investors”) pursuant to this prospectus supplement, the accompanying prospectus and a securities purchase agreement between the Company and the Investors, dated as of February 3, 2023 (the “Purchase Agreement”).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“MSGM.” On February 2, 2023, the closing sale price of our Common Stock as reported on the Nasdaq was $22.96.</w:t>
      </w:r>
    </w:p>
    <w:p>
      <w:pPr>
        <w:spacing w:after="0" w:line="16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February 3, 2023, the aggregate market value of our Common Stock held by our non-affiliates was 36,252,933, based upon 979,809 shares of our outstanding Common Stock held by non-affiliates at the per share price of $37.00, the closing sale price of our Common Stock on Nasdaq on February 1, 2023. Pursuant to General Instruction I.B.6 of Form S-3, in no event will we sell securities in a public offering with a value exceeding more than one-third of our “public float” (i.e., the aggregate market value of our Common Stock held by our non-affiliates) in any 12 calendar-month period so long as our public float remains below $75.0 million. During the 12 calendar months prior to and including the date of this prospectus supplement (but excluding this offering), we have sold 519,006 shares of Common Stock, raising gross proceeds of $8,046,545 in the aggregate, in reliance on General Instruction I.B.6 of Form S-3.</w:t>
      </w:r>
    </w:p>
    <w:p>
      <w:pPr>
        <w:spacing w:after="0" w:line="18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engaged H.C. Wainwright &amp; Co., LLC as our exclusive placement agent to use its reasonable best efforts to solicit offers to purchase shares of our securities in connection with this offering. The placement agent has no obligation to purchase any of the shares of our securities from us or to arrange for the purchase or sale of any specific number or dollar amount of the securities. We have agreed to pay the placement agent the placement agent fees set forth in the table below and to provide certain other compensation to the placement agent. See “Plan of Distribution” beginning on page S-14 of this prospectus supplement for more information regarding these arrangements.</w:t>
      </w:r>
    </w:p>
    <w:p>
      <w:pPr>
        <w:spacing w:after="0" w:line="17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offered securities involves a high degree of risk. See “Risk Factors” beginning on page S-12 of this prospectus supplement and page 3 of the accompanying prospectus, and in the documents incorporated by reference herein and therein, for a discussion of information that you should consider before investing in our securities.</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agent’s cash fees</w:t>
            </w:r>
            <w:r>
              <w:rPr>
                <w:rFonts w:ascii="Times New Roman" w:cs="Times New Roman" w:eastAsia="Times New Roman" w:hAnsi="Times New Roman"/>
                <w:sz w:val="29"/>
                <w:szCs w:val="29"/>
                <w:color w:val="auto"/>
                <w:vertAlign w:val="superscript"/>
              </w:rPr>
              <w:t>(1)</w:t>
            </w:r>
          </w:p>
        </w:tc>
        <w:tc>
          <w:tcPr>
            <w:tcW w:w="30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282,642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16.173</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3,755,107</w:t>
            </w:r>
          </w:p>
        </w:tc>
      </w:tr>
    </w:tbl>
    <w:p>
      <w:pPr>
        <w:spacing w:after="0" w:line="198" w:lineRule="exact"/>
        <w:rPr>
          <w:sz w:val="24"/>
          <w:szCs w:val="24"/>
          <w:color w:val="auto"/>
        </w:rPr>
      </w:pPr>
    </w:p>
    <w:p>
      <w:pPr>
        <w:jc w:val="both"/>
        <w:ind w:left="340" w:hanging="332"/>
        <w:spacing w:after="0" w:line="219"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have agreed to pay the placement agent for certain of its expenses. In addition, we have agreed to issue to the placement agent, or its designees, warrants to purchase a number of shares of our Common Stock equal to 6.0% of the aggregate number of shares of Common Stock sold in this offering. The warrants issued to the placement agent will have an exercise price equal to $21.738, which is equal to 125% of the offering price per share. See “Plan of Distribution” on page S-14 of this prospectus supplement for a description of the compensation payable to the placement agent.</w:t>
      </w:r>
    </w:p>
    <w:p>
      <w:pPr>
        <w:spacing w:after="0" w:line="1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delivery of the shares of Common Stock being offered pursuant to this prospectus supplement and the accompanying prospectus will be made on or about February 6, 2023, subject to satisfaction of customary closing conditions.</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Securities and Exchange Commission rules and, as such, have elected to comply with certain reduced public company disclosure requirements for this prospectus and future filings. See “Summary — Emerging Growth Company.”</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2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716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9"/>
        </w:trPr>
        <w:tc>
          <w:tcPr>
            <w:tcW w:w="2240" w:type="dxa"/>
            <w:vAlign w:val="bottom"/>
            <w:tcBorders>
              <w:top w:val="single" w:sz="8" w:color="CCEEFF"/>
              <w:bottom w:val="single" w:sz="8" w:color="0000EE"/>
            </w:tcBorders>
            <w:gridSpan w:val="11"/>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36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that we filed with the Securities and Exchange Commission (the “SEC”) using a “shelf” registration process and consists of two parts. The first part is this prospectus supplement, which describes the specific terms of this offering. The second part, the accompanying base prospectus, gives more general information, some of which may not apply to this offering. Generally, when we refer only to the “prospectus,” we are referring to both parts combined.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base prospectus or with any document incorporated by reference that was filed with the SEC before the date of this prospectus supplement, you should rely on this prospectus supplement. This prospectus supplement, the accompanying prospectus and the documents incorporated into each by reference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Additional Information” and “Incorporation of Certain Information by Reference.”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and in any free writing prospectuses we may provide to you in connection with this offering. We have not, and the placement agent has not, authorized any other person to provide you with any information that is different. If anyone provides you with different or inconsistent information, you should not rely on it. We are offering to sell, and seeking offers to buy, our securities only in jurisdictions where offers and sales are permitted. The distribution of this prospectus supplement and the offering of securities covered hereby in certain jurisdictions may be restricted by law. Persons outside the United States who come into possession of this prospectus supplement must inform themselves about, and observe any restrictions relating to, the offering of securities covered hereby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the terms “us,” “our,” “Motorsport Games,” “we,” the “company” and similar designations refer to Motorsport Games Inc., a Delaware corporation, and its consolidated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making an offer or sale of shares of our Common Stock in any jurisdiction where such offer or sale is not permitted. We are not making any representation to you regarding the legality of an investment in our Common Stock by you under applicable laws. You should consult with your own advisors as to legal, tax, business, financial and related aspects of an investment in our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herein by reference include trademarks, service marks and trade names owned by us or other companies. All trademarks, service marks and trade names included or incorporated by reference into this prospectus supplement and the information incorporated herein by reference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supplement may appear without the ® or TM symbols, but such references are not intended to indicate, in any way, that the applicable licensor will not assert, to the fullest extent under applicable law, its rights to these trademarks and trade names. Motorsport Games does not intend its use or display of other companies’ trade names, trademarks or service marks to imply a relationship with, or endorsement or sponsorship of it by, any other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free writing prospectus, including the information incorporated by reference herein and therein, contains certain statements, which are not historical facts and are “forward-looking statements” within the meaning of federal securities laws. These forward-looking statements are subject to certain risks, trends and uncertainties. Forward-looking statements give our current expectations and projections relating to our financial condition, results of operations, plans, objectives, strategies, future performance and business. You can identify forward-looking statements by the fact that they do not relate strictly to historical or current facts. We use words, such as “could,” “would,” “may,” “might,” “will,” “expect,” “likely,” “believe,” “continue,” “anticipate,” “estimate,” “intend,” “plan,” “project” and other similar expressions to identify some forward-looking statements, but not all forward-looking statements include these words. For example, forward-looking statements include statements we make relating to:</w:t>
      </w:r>
    </w:p>
    <w:p>
      <w:pPr>
        <w:spacing w:after="0" w:line="19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results of operations, financial condition and/or liquidity, including with respect to the ongoing effects of Russia’s invasion of Ukraine, as well as the coronavirus (“COVID-19”) pandemic;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planned products or offerings, including the anticipated timing of our new product launches under our updated product roadmap, such as our anticipated release of INDYCAR, British Touring Car Championship and Le Mans games in 2023 and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intentions with respect to our mobile games, including expectations that we will continue to focus on developing and further enhancing our multi-platform games for mobile phones, as well as the anticipated timing of the release of our future mobile games;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strive to become a leader in organizing and facilitating esports tournaments, competitions, and events for our licensed racing games as well as on behalf of third-party racing game developers and publishers;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that the COVID-19 pandemic will not have a material impact on our future business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expand our license arrangements to other internationally recognized racing series and the platforms we operate 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having a broader product portfolio will improve our operating results and provide a revenue stream that is less cyclical based on the release of a single game per year;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drive ongoing engagement and incremental revenue from recurrent consumer spending on our titles through in-game purchases and extra content;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derive significant revenues from sales of our products to a very limited number of distribution partners;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invest in technology, hardware and software to support our games and services, including with respect to security protections;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the global adoption of portable and mobile gaming devices leading to significant growth in portable and mobile gaming is a continuing trend;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continue to look for opportunities to expand the recurring portion of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left="328" w:hanging="328"/>
        <w:spacing w:after="0" w:line="25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capital requirements, including, without limitation, as to our ability to continue as a going concern, our belief that we will not have sufficient cash on hand to fund our operations for the remainder of 2022 based on the cash and cash equivalents available as of October 31, 2022 and our average cash burn, our belief that additional funding will be required in order to continue operations, our belief that there is a substantial likelihood that Motorsport Network, LLC (“Motorsport Network”) may not fulfill our future borrowing requests under a $12 million line of credit that it provides to us (the “Line of Credit”), our expectation to use current borrowings under the $12 million Line of Credit for general purposes and working capital, our belief that it will be necessary for us to secure additional funds, whether through a variety of equity and/or debt financing arrangements or similar transactions or implementing cost reductions through cost control initiatives, to continue our existing business operations and to fund our obligations, our expectation to generate additional liquidity through consummating one or more potential equity and/or debt financings, achieving cost reductions by maintaining and enhancing cost control initiatives, such as those that we expect to achieve through our previously announced organizational restructuring (the “2022 Restructuring Program”), and/or adjusting our product roadmap to reduce the near-term need for working capital, as well as statements regarding our cash flows and anticipated uses of cash, as well as our belief that additional funding in the form of potential equity and/or debt financing arrangements or similar transactions are viable options to support our future liquidity needs, provided that such opportunities can be obtained on terms that are commercially competitive and on terms acceptable to us;</w:t>
      </w:r>
    </w:p>
    <w:p>
      <w:pPr>
        <w:spacing w:after="0" w:line="19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that we will continue to incur losses for the foreseeable future as we continue to incur significant expenses;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relating to future impairment of intangible assets;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intentions with respect to our remediation efforts to address the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the outcome of all pending legal proceedings in the aggregate is not reasonably likely to have a material adverse effect on our business, prospects, results of operations, financial condition and/or cash flows, except as otherwise disclosed in the Q3 2022 Form 10-Q (as defined below), and that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including, without limitation, our beliefs regarding the merit of any plaintiff’s allegations and the impact of any claims and litigation that we are subject to;</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 carryforwards;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future impact of implementing management strategies, potential acquisitions and industry trends;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intentions to regain compliance with the listing requirements of Nasdaq;</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continue relying on exemptions from certain corporate governance requirements of Nasdaq as a result of being a “controlled company” within the meaning of the Nasdaq rules and our belief that we may decide in the future to avail ourselves of other controlled company exemptions in accordance with Nasdaq rules; and</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2022 Restructuring Program, such as: (i) our expectations to eliminate approximately 20% of our overhead costs worldwide; (ii) our expectations regarding the amount and timing of the charges and payments related to the 2022 Restructuring Program; (iii) our expectations that as a result of the 2022 Restructuring Program, we will deliver approximately $4 million of total annualized cost reductions by the end of 2023, with the immediate headcount cost reductions expected to deliver annualized cost reductions of approximately $2.5 million by the end of 2022 and additional actions to be taken during 2022 expected to generate an additional $1.5 million of annualized cost reductions by the end of 2023; (iv) our expectations that total restructuring costs will fall within the previously estimated range of $0.1 million to $0.3 million; and</w:t>
      </w:r>
    </w:p>
    <w:p>
      <w:pPr>
        <w:spacing w:after="0" w:line="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our plans to continue our efforts to achieve further cost reductions.</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the accompanying prospectus and any free writing prospectus, including the information incorporated by reference herein and therein, are based on assumptions that we have made in light of our industry experience and our perceptions of historical trends, current conditions, expected future developments and other factors that we believe are appropriate under the circumstances. As you read and consider this prospectus supplement, the accompanying prospectus and any free writing prospectus, including the information incorporated by reference herein and therein, you should understand that these statements are not guarantees of performance or results. They involve risks, uncertainties (many of which are beyond our control) and assumptions that are difficult to predict, including, without limitation, sales of shares of Common Stock under the Purchase Agreement impacting the price of our Common Stock, our inability to raise funds under the Purchase Agreement due to certain limitations under the Purchase Agreement, and less than expected results from the proceeds raised from any transaction under the Purchase Agreement.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Important factors that could cause our actual results to differ materially from those projected in any forward-looking statements are discussed in “Risk Factors” in Part I, Item 1A of our Annual Report on Form 10-K for the year ended December 31, 2021 (the “2021 Form 10-K”) and in “Risk Factors” in Part II, Item 1A of our Quarterly Report on Form 10-Q for the fiscal quarter ended September 30, 2022 (the “Q3 2022 Form 10-Q”), as updated in our subsequent filings with the SEC. In addition to factors that may be described in our filings with the SEC, including this prospectus supplement, the accompanying prospectus and any free writing prospectus, including the information incorporated by reference herein and therein, the following factors, among others, could cause our actual results to differ materially from those expressed in any forward-looking statements made by us:</w:t>
      </w:r>
    </w:p>
    <w:p>
      <w:pPr>
        <w:spacing w:after="0" w:line="195" w:lineRule="exact"/>
        <w:rPr>
          <w:sz w:val="20"/>
          <w:szCs w:val="20"/>
          <w:color w:val="auto"/>
        </w:rPr>
      </w:pPr>
    </w:p>
    <w:p>
      <w:pPr>
        <w:jc w:val="both"/>
        <w:ind w:left="660" w:hanging="328"/>
        <w:spacing w:after="0" w:line="25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and/or delays in accessing available liquidity, and other unanticipated difficulties in resolving our continuing financial condition and ability to obtain additional capital to meet our financial obligations, including, without limitation, difficulties in securing funding that is on commercially acceptable terms to us or at all, such as our inability to complete in whole or in part any potential debt and/or equity financing transactions or similar transactions, as well as any ability to achieve cost reductions, including, without limitation, those which we expect to achieve through the 2022 Restructuring Program; difficulties, delays or our inability to efficiently manage our cash and working capital; higher than expected operating expenses; adverse impacts to our liquidity position resulting from the higher interest rate and higher inflationary environment; the unavailability of funds from anticipated borrowing sources; the unavailability of funds from our inability to reduce or control costs, including, without limitation, those which we expect to achieve through the 2022 Restructuring Program; lower than expected operating revenues, cash on hand and/or funds available from anticipated borrowings or funds expected to be generated from cost reductions resulting from the implementation of cost control initiatives, such as through the 2022 Restructuring Program; and/or less than anticipated cash generated by our operations; and/or adverse effects on our liquidity resulting from changes in economic conditions (such as continued volatility in the financial markets, whether attributable to COVID-19, Russia’s invasion of Ukraine or otherwise; significantly higher rates of inflation, significantly higher interest rates and higher labor costs; the impact of higher energy prices on consumer purchasing behavior, monetary conditions and foreign currency fluctuations, tariffs, foreign currency controls and/or government-mandated pricing controls, as well as in trade, monetary, fiscal and tax policies), political conditions (such as military actions and terrorist activities) and pandemics and natural disasters; and/or the unavailability of funds from (A) delaying the implementation of or revising certain aspects of our business strategy; (B) reducing or delaying the development and launch of new products and events; (C) reducing or delaying capital spending, product development spending and marketing and promotional spending; (D) selling assets or operations; (E) seeking additional capital contributions and/or loans from Motorsport Network, the Company’s other affiliates and/or third parties; and/or (F) reducing other discretionary spending;</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or less than expected results in achieving our growth plans, objectives and expectations, such as due to a slower than anticipated economic recovery and/or our inability, in whole or in part, to continue to execute our business strategies and plans, such as due to less than anticipated customer acceptance of our new game titles, our experiencing difficulties or the inability to launch our games as planned, less than anticipated performance of the games impacting customer acceptance and sales and/or greater than anticipated costs and expenses to develop and launch our games, including, without limitation, higher than expected labor costs;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in or unanticipated events that may impact the timing and scope of new product launches, such as due to difficulties or delays in using its product development personnel in Russia due to Russia’s invasion of Ukraine and the related sanctions and/or more restrictive sanctions rendering transacting in the region more difficult or costly and/or difficulties and/or delays arising out of any resurgence of the ongoing and prolonged COVID-19 pandemic;</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expected benefits from implementing our management strategies and/or adverse economic, market and geopolitical conditions that negatively impact industry trends, such as significant changes in the labor markets, an extended or higher than expected inflationary environment (such as the impact on consumer discretionary spending as a result of significant increases in energy and gas prices which have been increasing since early in 2020), a higher interest rate environment, tax increases impacting consumer discretionary spending and or quantitative easing that results in higher interest rates that negatively impact consumers’ discretionary spending, or adverse developments relating to Russia’s invasion of Ukraine;</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higher than anticipated expenses related to the ongoing and prolonged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and/or delays adversely impacting our ability (or inability) to maintain existing, and to secure additional, licenses and other agreements with various racing series;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and/or delays adversely impacting our ability to successfully manage and integrate any joint ventures, acquisitions of businesses, solutions or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operating costs, transaction costs and actual or contingent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and/or delays adversely impacting 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increased competition;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including as a result of general economic factors, such as increased inflation, recessionary factors, higher energy prices and higher interest rates;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and/or delays adversely impacting our ability to protect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industry and general business and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adverse effects on our business, prospects, results of operations, financial condition, cash flows and/or liquidity as a result of unexpected developments with respect to our legal proceedings;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and/or delays or unanticipated developments adversely impacting our ability to regain compliance with the Nasdaq’s listing requirements; and/or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or our inability to successfully complete the 2022 Restructuring Program, in whole or in part, which could result in less than expected operating and financial benefits from such actions, as well as delays in completing the 2022 Restructuring Program, which could reduce the benefits realized from such activities; higher than anticipated restructuring charges and/or payments and/or changes in the expected timing of such charges and/or payments; and/or less than anticipated annualized cost reductions from the 2022 Restructuring Program and/or changes in the timing of realizing such cost reductions, such as due to less than anticipated liquidity to fund such activities and/or more than expected costs to achieve the expected cost reductions.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there are other risks and uncertainties described from time to time in the reports that we file with the SEC. Should one or more of these risks or uncertainties materialize or should any of these assumptions prove to be incorrect, our actual operating and financial performance may vary in material respects from the performance projected in these forward-looking statements. Further, any forward-looking statement speaks only as of the date on which it is made, and except as required by law, we undertake no obligation to update any forward-looking statement contained in this prospectus supplement, the accompanying prospectus and any free writing prospectus, including the information incorporated by reference herein and therein, to reflect events or circumstances after the date on which it is made or to reflect the occurrence of anticipated or unanticipated events or circumstances, except as otherwise required by law. New factors that could cause our business not to develop as we expect emerge from time to time, and it is not possible for us to predict all of them. Further, we cannot assess the impact of each currently known or new factor on our results of operations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supplement or incorporated by reference herein and does not contain all the information that may be important to purchasers of our securities. Prospective purchasers of our securities should carefully read this entire prospectus supplement and the accompanying prospectus, including the risks of investing in our securities discussed under the heading “Risk Factors” herein and under similar headings in the accompanying base prospectus, and the documents incorporated by reference herein and therein. Prospective purchasers of our securities should also carefully read the information incorporated by reference in this prospectus supplement and the accompanying prospectus, including our financial statements, and the exhibits to the registration statement of which the accompanying prospectus is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Motorsport Games is a leading racing game developer, publisher and esports ecosystem provider of official motorsport racing series throughout the world, including NASCAR, the iconic 24 Hours of Le Mans endurance race and the associated FIA World Endurance Championship, INDYCAR, the British Touring Car Championship, KartKraft (karting simulation) and rFactor 2 (racing simulation). Through the support of our majority stockholder, Motorsport Network, the mission of which is to be the leading, independent voice for the global motorsport and automotive industries and their fans, Motorsport Games’ corporate mission is to create a virtual racing ecosystem. Our products and services target a large and underserved global motorsport audience.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Started in 2018 as a wholly-owned subsidiary of Motorsport Network, we develop and publish multi-platform racing video games including for game consoles, PCs and mobile platforms through various retail and digital channels, including full-game and downloadable content.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2023, we entered into a securities purchase agreement with the purchaser listed on the signature page thereto, pursuant to which we agreed to issue and sell to such purchaser 183,020 shares of Common Stock in a registered direct offering priced at-the-market under Nasdaq rules for a purchase price of $21.40 per share (the “February 1 Offering”). The February 1 Offering closed on February 2, 2023, and the Company received aggregate gross proceeds from such offering of approximately $3.9 million, before deducting placement agent fees and other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 2023, we entered into another securities purchase agreement with the purchasers listed on the signature pages thereto, pursuant to which we agreed to issue and sell to such purchasers an aggregate of 144,366 shares of Common Stock in a registered direct offering priced at-the-market under Nasdaq rules for a purchase price of $23.50 per share (the “February 2 Offering” and, together with the February 1 Offering, the “Offerings”). The February 2 Offering closed on February 3, 2023, and the Company received aggregate gross proceeds from such offering of approximately $3.39 million, before deducting placement agent fees and other offering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from the Offerings for development of multiple games, working capital and general corporate purposes.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H.C. Wainwright &amp; Co., LLC (“H.C. Wainwright” or the “placement agent”) acted as the exclusive placement agent for the Offerings pursuant to an engagement letter with the Company, dated as of January 9, 2023, as amended. Upon closing of the February 1 Offering, the Company paid H.C. Wainwright a cash fee equal to 7.0% of the aggregate gross proceeds to the Company from the February 1 Offering, non-accountable expenses of $50,000 and closing fees of $15,950. The Company also issued to H.C. Wainwright’s designees warrants to purchase up to 10,981 shares of Common Stock, which is equal to 6.0% of the aggregate number of shares of Common Stock placed in the February 1 Offering, at an exercise price of $26.75 per share (which represents 125% of the purchase price per share). Such warrants expire five years after the commencement of sales under the February 1 Offering.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closing of the February 2 Offering, the Company paid H.C. Wainwright a cash fee equal to 7.0% of the aggregate gross proceeds to the Company from the February 2 Offering, non-accountable expenses of $25,000 and closing fees of $15,950. The Company also issued to H.C. Wainwright’s designees warrants to purchase up to 8,662 shares of Common Stock, which is equal to 6.0% of the aggregate number of shares of Common Stock placed in the February 2 Offering, at an exercise price of $29.375 per share (which represents 125% of the purchase price per share). Such warrants expire five years after the commencement of sales under the February 2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issued under the Offerings were issued pursuant to the Company’s registration statement on Form S-3 filed with the SEC on February 1, 2022 (File No. 333-262462) and became effective on February 10, 2022, and a base prospectus and prospectus supplement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Debt for Equity Exchanges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30, 2023, the Company entered into a debt-for-equity exchange agreement (the “Exchange Agreement”) with Motorsport Network, whereby the Company issued 338,983 shares (the “Acquired Shares”) of Common Stock to Motorsport Network, which amount represents the aggregate number of shares of Common Stock equal to $1,000,000 (the “Discharged Debt”), representing a portion of the Company’s outstanding debt (including the principal and not yet paid interest thereon) under that certain promissory note dated April 1, 2020, as amended on November 23, 2020 (as amended, the “Line of Credit”), held by Motorsport Network, divided by the lower of: (i) the Nasdaq Official Closing Price of the Class A Common Stock immediately preceding the signing of the Exchange Agreement, or (ii) the average Nasdaq Official Closing Price of the Class A Common Stock for the five trading days immediately preceding the signing of the Exchange Agreement. The Acquired Shares were issued in consideration for the cancellation of the Discharged Debt under the Line of Credit. Under the Exchange Agreement, subject to conditions set forth therein, the Company agreed to file a registration statement with the SEC upon demand from Motorsport Network at any time within 60 days after date on which the transactions contemplated under the Exchange Agreement have been completed in order to register the resale of the Acquired Shares. The Exchange Agreement also granted certain piggyback registration rights to Motorsport Network. The Acquired Shares have not been registered under the Securities Act of 1933, as amended (the “Securities Act”), and cannot be offered or sold in the United States absent effective registration or an applicable exemption from registration requirements. The Company is relying on the private placement exemption from registration provided by Section 4(a)(2) of the Securities Act and/or by Rule 506 of Regulation D promulgated thereunder and on similar exemptions under applicable state laws.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 2023, the Company entered into a debt-for-equity exchange agreement (the “February 1 Exchange Agreement”) with Motorsport Network, whereby the Company issued to Motorsport Network 441,402 shares of Common Stock (the “February 1 Acquired Shares”), which amount represents the aggregate number of shares of Class A Common Stock equal to $2,948,565.99 (the “February 1 Discharged Debt”), representing the Company’s remaining debt outstanding (including the principal and not yet paid interest thereon) under the Line of Credit, divided by $6.68, which is the lower of: (i) the Nasdaq Official Closing Price of the Class A Common Stock immediately preceding the signing of the Exchange Agreement, or (ii) the average Nasdaq Official Closing Price of the Class A Common Stock for the five trading days immediately preceding the signing of the February 1 Exchange Agreement. The February 1 Acquired Shares were issued in consideration for the cancellation of the February 1 Discharged Debt under the Line of Credit. Under the February 1 Exchange Agreement, subject to conditions set forth therein, the Company agreed to file a registration statement with the SEC upon demand from Motorsport Network at any time within 60 days after date on which the transactions contemplated under the February 1 Exchange Agreement have been completed in order to register the resale of the February 1 Acquired Shares. The February 1 Exchange Agreement also granted certain piggyback registration rights to Motorsport Network. The Acquired Shares have not been registered under the Securities Act, and cannot be offered or sold in the United States absent effective registration or an applicable exemption from registration requirements. The Company is relying on the private placement exemption from registration provided by Section 4(a)(2) of the Securities Act and/or by Rule 506 of Regulation D promulgated thereunder and on similar exemptions under applicable state laws.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Motorsport Gaming US LLC was organized as a limited liability company on August 2, 2018 under the laws of the State of Florida. On January 8, 2021, Motorsport Gaming US LLC converted into a Delaware corporation pursuant to a statutory conversion and changed its name to Motorsport Games Inc. in connection with our initial public offering. Effective as of January 8, 2021, 100% of the membership interests held by the sole member of Motorsport Gaming US LLC, Motorsport Network, converted into an aggregate of (i) 7,000,000 shares of Class A common stock of Motorsport Games Inc. and (ii) 7,000,000 shares of Class B common stock of Motorsport Games Inc., representing all of the outstanding shares of Class A and Class B common stock immediately following the corporate conversion. On November 9, 2022, at a special meeting of stockholders, our stockholders approved an amendment to our certificate of incorporation to effect a reverse split of our issued and outstanding shares of Class A common stock and Class B common stock at a ratio of 1-for-10 (the “Reverse Stock Split”). Effective with such stockholder approval, our board of directors approved the Reverse Stock Split at a ratio of 1-for-10, with the Reverse Stock Split effective as of November 10, 2022.</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5972 NE 4th Avenue Miami, FL 33137, and our telephone number is (305) 507-8799. Our website address is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None of the information contained on, or that may be accessed through, our website is a prospectus or constitutes part of,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incorporated into, this prospectus supplement. We have included our website address in this prospectus supplement solely as an inactive textual reference.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(a) following the fifth anniversary of the completion of Motorsport Games’ IPO, (b) in which Motorsport Games has a total annual gross revenue of at least $1.235 billion, (c) the date on which we have issued more than $1.0 billion in non-convertible debt securities during the prior three-year period, or (d) the date on which Motorsport Games is deemed to be a large accelerated filer, which means the market value of Motorsport Games’ common stock that is held by non-affiliates equals or exceeds $700 million as of the end of that year’s second fiscal quarter and Motorsport Games is not eligible to use the requirements for smaller reporting companies under the revenue test for the definition of “smaller reporting company” under Rule 12b-2 promulgated under the Exchange Act. References herein to “emerging growth company” will have the meaning associated with it in the JOBS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240"/>
          </w:cols>
          <w:pgMar w:left="320" w:top="684"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00" w:lineRule="exact"/>
        <w:rPr>
          <w:sz w:val="20"/>
          <w:szCs w:val="20"/>
          <w:color w:val="auto"/>
        </w:rPr>
      </w:pPr>
    </w:p>
    <w:p>
      <w:pPr>
        <w:sectPr>
          <w:pgSz w:w="11900" w:h="16838" w:orient="portrait"/>
          <w:cols w:equalWidth="0" w:num="2">
            <w:col w:w="3780" w:space="720"/>
            <w:col w:w="67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we are offering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232,188 shares of Common Stock. Each share of Common Stock is being sold in this offering at a purchase price of $17.39.</w:t>
      </w:r>
    </w:p>
    <w:p>
      <w:pPr>
        <w:spacing w:after="0" w:line="162" w:lineRule="exact"/>
        <w:rPr>
          <w:sz w:val="20"/>
          <w:szCs w:val="20"/>
          <w:color w:val="auto"/>
        </w:rPr>
      </w:pPr>
    </w:p>
    <w:p>
      <w:pPr>
        <w:sectPr>
          <w:pgSz w:w="11900" w:h="16838" w:orient="portrait"/>
          <w:cols w:equalWidth="0" w:num="2">
            <w:col w:w="3780" w:space="720"/>
            <w:col w:w="6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Common Stock outstanding prior to this offering(1)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2,466,746 shares of Common Stock</w:t>
      </w:r>
    </w:p>
    <w:p>
      <w:pPr>
        <w:spacing w:after="0" w:line="211" w:lineRule="exact"/>
        <w:rPr>
          <w:sz w:val="20"/>
          <w:szCs w:val="20"/>
          <w:color w:val="auto"/>
        </w:rPr>
      </w:pPr>
    </w:p>
    <w:p>
      <w:pPr>
        <w:sectPr>
          <w:pgSz w:w="11900" w:h="16838" w:orient="portrait"/>
          <w:cols w:equalWidth="0" w:num="2">
            <w:col w:w="3780" w:space="720"/>
            <w:col w:w="6740"/>
          </w:cols>
          <w:pgMar w:left="320" w:top="684"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Common Stock to be outstanding after offering of Initial Purchase Amount(1)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2,698,934 shares of Common Stock</w:t>
      </w:r>
    </w:p>
    <w:p>
      <w:pPr>
        <w:spacing w:after="0" w:line="452" w:lineRule="exact"/>
        <w:rPr>
          <w:sz w:val="20"/>
          <w:szCs w:val="20"/>
          <w:color w:val="auto"/>
        </w:rPr>
      </w:pPr>
    </w:p>
    <w:p>
      <w:pPr>
        <w:sectPr>
          <w:pgSz w:w="11900" w:h="16838" w:orient="portrait"/>
          <w:cols w:equalWidth="0" w:num="2">
            <w:col w:w="4080" w:space="420"/>
            <w:col w:w="6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development of multiple games, working capital and other business purposes. See “Use of Proceeds.”</w:t>
      </w:r>
    </w:p>
    <w:p>
      <w:pPr>
        <w:spacing w:after="0" w:line="176" w:lineRule="exact"/>
        <w:rPr>
          <w:sz w:val="20"/>
          <w:szCs w:val="20"/>
          <w:color w:val="auto"/>
        </w:rPr>
      </w:pPr>
    </w:p>
    <w:p>
      <w:pPr>
        <w:sectPr>
          <w:pgSz w:w="11900" w:h="16838" w:orient="portrait"/>
          <w:cols w:equalWidth="0" w:num="2">
            <w:col w:w="3780" w:space="720"/>
            <w:col w:w="6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This investment involves a high degree of risk. See “Risk Factors” on page S-12 of this prospectus supplement and the other information included in, or incorporated by reference into, this prospectus supplement for a discussion of factors you should consider carefully before making an investment decision.</w:t>
      </w:r>
    </w:p>
    <w:p>
      <w:pPr>
        <w:spacing w:after="0" w:line="180" w:lineRule="exact"/>
        <w:rPr>
          <w:sz w:val="20"/>
          <w:szCs w:val="20"/>
          <w:color w:val="auto"/>
        </w:rPr>
      </w:pPr>
    </w:p>
    <w:p>
      <w:pPr>
        <w:sectPr>
          <w:pgSz w:w="11900" w:h="16838" w:orient="portrait"/>
          <w:cols w:equalWidth="0" w:num="2">
            <w:col w:w="3780" w:space="720"/>
            <w:col w:w="6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Symbol on The Nasdaq Capital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MSGM</w:t>
      </w:r>
    </w:p>
    <w:p>
      <w:pPr>
        <w:spacing w:after="0" w:line="200" w:lineRule="exact"/>
        <w:rPr>
          <w:sz w:val="20"/>
          <w:szCs w:val="20"/>
          <w:color w:val="auto"/>
        </w:rPr>
      </w:pPr>
    </w:p>
    <w:p>
      <w:pPr>
        <w:sectPr>
          <w:pgSz w:w="11900" w:h="16838" w:orient="portrait"/>
          <w:cols w:equalWidth="0" w:num="2">
            <w:col w:w="3780" w:space="720"/>
            <w:col w:w="6740"/>
          </w:cols>
          <w:pgMar w:left="320" w:top="684" w:right="339" w:bottom="1440" w:gutter="0" w:footer="0" w:header="0"/>
          <w:type w:val="continuous"/>
        </w:sectPr>
      </w:pPr>
    </w:p>
    <w:p>
      <w:pPr>
        <w:spacing w:after="0" w:line="25" w:lineRule="exact"/>
        <w:rPr>
          <w:sz w:val="20"/>
          <w:szCs w:val="20"/>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outstanding immediately before this offering is based on 2,466,746 shares of Class A common stock outstanding as of February 3, 2023 and excludes as of such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49,494 shares of our Class A common stock reserved for issuance under the options, some of which were granted pursuant to our 2021 Equity Incentive Plan (the “2021 Plan”) and some of which were granted outside of the 2021 Plan but were subject to stockholder approval that was previously obtained;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50,506 shares of our Class A common stock reserved for future issuance of equity awards under our 2021 Plan as of February 3,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10,981 shares of our Common Stock issued to the placement agent (or its designees) as compensation in connection with the February 1 Offering consummated on February 2, 2023, at an exercise price of $26.75 per share;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8,662 shares of our Common Stock issued to the placement agent (or its designees) as compensation in connection with the February 2 Offering consummated on February 3, 2023, at an exercise price of $29.375 per share.</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described in the bullets above and no exercise of the warrants to purchase up to 13,931 shares of our Common Stock to be issued to the placement agent (or its designees) as compensation in connection with this offering at an exercise price of $21.738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 investment in our shares of Common Stock involves risks and uncertainties. You should carefully consider the risk factors incorporated by reference to the 2021 Form 10-K, any subsequent Quarterly Reports on Form 10-Q or Current Reports on Form 8-K, and all other information contained or incorporated by reference into this prospectus </w:t>
      </w:r>
      <w:r>
        <w:rPr>
          <w:rFonts w:ascii="Times New Roman" w:cs="Times New Roman" w:eastAsia="Times New Roman" w:hAnsi="Times New Roman"/>
          <w:sz w:val="18"/>
          <w:szCs w:val="18"/>
          <w:color w:val="auto"/>
        </w:rPr>
        <w:t>supplement</w:t>
      </w:r>
      <w:r>
        <w:rPr>
          <w:rFonts w:ascii="Times New Roman" w:cs="Times New Roman" w:eastAsia="Times New Roman" w:hAnsi="Times New Roman"/>
          <w:sz w:val="18"/>
          <w:szCs w:val="18"/>
          <w:i w:val="1"/>
          <w:iCs w:val="1"/>
          <w:color w:val="auto"/>
        </w:rPr>
        <w:t>, as updated by our subsequent filings under the Exchange Act, and the risk factors and other information contained in this prospectus supplement, the accompanying prospectus and any free writing prospectus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“Cautionary Note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have broad discretion and flexibility in how the net proceeds from this offering are used, we may use the net proceeds in ways in which you disagree .</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purposes and to fund other general corporate purposes. See “Use of Proceeds” on page S-13. We have not allocated specific amounts of the net proceeds from this offering for any of the foregoing purposes.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the exercise of stock options or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at prices that may not be the same as the price per share in this offering. The price per share at which we sell additional shares of our Common Stock in future transactions may be higher or lower than the price per share paid by the Investors in this offering. To the extent that outstanding stock options or warrants may be exercised, or other shares issued, you may experience further dilution.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common stock by stockholders may have an adverse effect on the then prevailing market price of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the offering could cause the market price of our Common Stock to decline and could impair our ability to raise capital through the sale of additional equity securities. We cannot predict the effect that future sales of our Common Stock or other equity-related securities would have on the market price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from the sale of this offering, after deducting placement agent fees and estimated offering expenses payable by us, will be approximately $3.7 million. We intend to use the net proceeds from the sale of the shares of Common Stock for general corporate purposes, which may include the development of multiple games and other business purposes. The amounts and timing of our use of proceeds will vary depending on a number of factors, including the amount of cash generated or used by our operations. As a result, we will retain broad discretion in the allocation of the net proceeds of this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Our board of directors currently intends to retain any future earnings to support its operations and to finance the growth and development of our business and does not intend to declare or pay cash dividends on shares of our Common Stock for the foreseeable future. Any future determination to pay dividends will be made at the discretion of our board of directors. Investors should not purchase shares of our Common Stock with the expectation of receiving cash dividends.</w:t>
      </w:r>
    </w:p>
    <w:p>
      <w:pPr>
        <w:spacing w:after="0" w:line="17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232,188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authorized 107,000,000 shares of capital stock, of which 100,000,000 are shares of Common Stock, $0.0001 par value per share, 7,000,000 are shares of Class B common stock, $0.0001 par value per share, and 1,000,000 are shares of preferred stock, $0.0001 par value per share. On February 3, 2023, there were 2,466,746 shares of Common Stock, 700,000 shares of Class B common stock, and zero shares of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“MSGM.”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Worldwide Stock Transfer,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“Description of Capital Stock” in our prospectus for more information regarding our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engaged H.C. Wainwright to act as our exclusive placement agent to solicit offers to purchase the securities offered by this prospectus supplement and accompanying prospectus. H.C. Wainwright is not purchasing or selling any securities, nor is it required to arrange for the purchase and sale of any specific number or dollar amount of shares of Common Stock, other than to use its reasonable best efforts to arrange for the sale of the shares of Common Stock by us. Therefore, we may not sell the entire amount of the shares of Common Stock being offered. There is no minimum amount of proceeds that is a condition to closing of this offering. The offering price of the shares of Common Stock we are offering was negotiated between us, the placement agent and the Investors, based on the trading of our Common Stock prior to the offering, among other considerations. We entered into a securities purchase agreement directly with the Investors for the purchase our shares of Common Stock in this offering and we will only sell to investors who have entered into the securities purchase agreement with us. H.C. Wainwright may engage one or more sub-placement agents or selected dealers to assist with the offering.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deliver the shares of Common Stock being offered pursuant to this prospectus supplement and accompanying prospectus on or about February 6, 2023, subject to satisfaction of customary closing conditions.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 the per share and total placement agent cash fees we will pay in connection with the sale of the shares of Common Stock in this offering assuming the purchase of all of the shares of Common Stock we are offering.</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placement agent fees</w:t>
            </w:r>
          </w:p>
        </w:tc>
        <w:tc>
          <w:tcPr>
            <w:tcW w:w="3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placement agent fees</w:t>
            </w:r>
          </w:p>
        </w:tc>
        <w:tc>
          <w:tcPr>
            <w:tcW w:w="3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282,642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pay the placement agent a total cash fee equal to 7.0% of the gross proceeds of the offerings. We will also pay the placement agent $25,000 for non-accountable expense in connection with the offerings and clearing expenses in the amount of $15,950.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total offering expenses of the offering that will be payable by us, excluding the placement agent fees and expenses, will be approximately $0.1 million. After deducting the placement agent fees and our estimated offering expenses, we expect the net proceeds from this offering to be approximately $3.7 million.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an engagement letter with H.C. Wainwright, we have agreed to issue warrants to H.C. Wainwright, or its designees, warrants to purchase up to 13,931 shares of Common Stock (the “Placement Agent Warrants”), which is equal to 6.0% of the aggregate number of shares of Common Stock being offered pursuant to this prospectus supplement and accompanying prospectus. The Placement Agent Warrants will have an exercise price of $21.738 per share, which is equal to 125% of the offering price per share, and will terminate on February 6, 2028, which is five years from the commencement of the sales pursuant to this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Standstill Provision and Lock-Up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for a period of 15 days from the closing date of this offering, the Company and its subsidiaries will be restricted from issuing any shares of Common Stock (or Common Stock equivalents) or filing any registration statement (other than (i) a resale registration statement registering shares of Class A Common Stock previously issued to the Company’s parent, Motorsport Network, LLC, pursuant to debt-for-equity exchange transactions or (ii) a registration statement to register equity securities issuable in connection with any Company stock or option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2023, Motorsport Network and H.C. Wainwright, entered into a lock up agreement pursuant to which Motorsport Network agreed, for 30 days after February 6, 2023, to not offer, sell, contract to sell, hypothecate, pledge or otherwise dispose of (or enter into any transaction which is designed to, or might reasonably be expected to, result in the disposition of,, any shares of Common Stock of the Company or securities convertible, exchangeable or exercisable into, shares of Common Stock of the Company beneficially owned, held or hereafter acquired by Motorsport Network in connection with any debt to equity exchange. Such restriction is subject to customary carve outs.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may provide in the future various advisory, investment and commercial banking and other services to us in the ordinary course of business, for which they have received and may continue to receive customary fees and commissions. H.C. Wainwright acted as our placement agent for the February 1 Offering and the February 2 Offering, and received compensation for such offerings. However, except as disclosed in this prospectus supplement, we have no present arrangements with Wainwright for any further services.</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Worldwide Stock Transfer, LLC.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“MSGM.”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or to contribute to payments the placement agent may be required to make with respect to any of these liabilities.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fees received by it and any profit realized on the sale of the securities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Common Stock being offered hereby was passed upon by Snell &amp; Wilmer L.L.P., Los Angeles, California.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as of and for the year ended December 31, 2021 incorporated by reference in the accompanying prospectus have been so incorporated by reference in reliance upon the report of Grant Thornton LLP, independent registered public accountants, upon the authority of said firm as experts in accounting and auditing.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as of and for the year ended December 31, 2020 incorporated by reference in the accompanying prospectus have been so incorporated by reference in reliance upon the report of Dixon Hughes Goodman LLP, independent registered public accountants,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we filed with the SEC. This prospectus supplement does not contain all of the information set forth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or any sale of the securities offered by this prospectus supplement.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Information contained on or accessible through our website is not a part of this prospectus supplement, and the inclusion of our website address in this prospectus supplement is an inactive textual reference only.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into this prospectus supplement. This means that we can disclose important information to you by referring you to another document filed separately with the SEC. The information incorporated by reference is considered to be part of this prospectus supplement, except for information superseded by information contained in this prospectus supplement or in any subsequently filed incorporated document. This prospectus supplement incorporates by reference the documents set forth below that we have previously filed with the SEC, other than information in such documents that is deemed to be furnished and not filed. These documents contain important information about us and our business and financial condition. Any report or information within any of the documents referenced below that is furnished, but not filed, shall not be incorporated by reference into this prospectus supplement.</w:t>
      </w:r>
    </w:p>
    <w:p>
      <w:pPr>
        <w:spacing w:after="0" w:line="18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30, 2022;</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2021 Form 10-K from our Definitive Proxy Statement on </w:t>
      </w:r>
      <w:hyperlink r:id="rId2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27, 2022;</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xml:space="preserve"> for the quarters ended </w:t>
      </w:r>
      <w:hyperlink r:id="rId29">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1">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auto"/>
        </w:rPr>
        <w:t>, filed with the SEC on May 16, 2022, August 10, 2022 and November 18, 2022, respectively;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7"/>
        </w:numPr>
        <w:rPr>
          <w:rFonts w:ascii="Times New Roman" w:cs="Times New Roman" w:eastAsia="Times New Roman" w:hAnsi="Times New Roman"/>
          <w:sz w:val="18"/>
          <w:szCs w:val="18"/>
          <w:color w:val="000000"/>
        </w:rPr>
      </w:pPr>
      <w:hyperlink r:id="rId3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28,</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8,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with respect to Item 7.01 and Exhibit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15,</w:t>
        </w:r>
      </w:hyperlink>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10,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with respect to Item 7.01 and Exhibits 99.1 and 99.2),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w:t>
        </w:r>
      </w:hyperlink>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14, 2022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18,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with respect to Items 2.02 and 7.01 and Exhibits 99.1 and 99.2),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9,</w:t>
        </w:r>
      </w:hyperlink>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with respect to Item 7.01 and Exhibit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9,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with respect to Item 7.01 and Exhibit 99.1),</w:t>
        </w:r>
      </w:hyperlink>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December 27,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January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January 18,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January 27,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January 30, 2023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with respect to Item 7.01 and 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99.1), </w:t>
      </w:r>
      <w:hyperlink r:id="rId41">
        <w:r>
          <w:rPr>
            <w:rFonts w:ascii="Times New Roman" w:cs="Times New Roman" w:eastAsia="Times New Roman" w:hAnsi="Times New Roman"/>
            <w:sz w:val="18"/>
            <w:szCs w:val="18"/>
            <w:u w:val="single" w:color="auto"/>
            <w:color w:val="0000EE"/>
          </w:rPr>
          <w:t>February 2,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with respect to Item 7.01 and Exhibits 99.1 and 99.2), and </w:t>
      </w:r>
      <w:hyperlink r:id="rId42">
        <w:r>
          <w:rPr>
            <w:rFonts w:ascii="Times New Roman" w:cs="Times New Roman" w:eastAsia="Times New Roman" w:hAnsi="Times New Roman"/>
            <w:sz w:val="18"/>
            <w:szCs w:val="18"/>
            <w:u w:val="single" w:color="auto"/>
            <w:color w:val="0000EE"/>
          </w:rPr>
          <w:t>February 3,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(other than with respect to Item 7.01 and Exhibit 99.1); and</w:t>
      </w:r>
    </w:p>
    <w:p>
      <w:pPr>
        <w:spacing w:after="0" w:line="191" w:lineRule="exact"/>
        <w:rPr>
          <w:rFonts w:ascii="Times New Roman" w:cs="Times New Roman" w:eastAsia="Times New Roman" w:hAnsi="Times New Roman"/>
          <w:sz w:val="18"/>
          <w:szCs w:val="18"/>
          <w:color w:val="000000"/>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our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001-39868), filed with the SEC on January 7,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00"/>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documents that we file (but not documents or parts of documents that we furnish) pursuant to Sections 13(a), 13(c), 14 or 15(d) of the Exchange Act (i) after the date of the initial filing of the registration statement of which this prospectus supplement is a part and prior to effectiveness of the registration statement and (ii) after the effectiveness of the registration statement but prior to the termination of the offering of the securities covered by this prospectus supplement, shall be deemed to be incorporated by reference into this prospectus supplement.</w:t>
      </w:r>
    </w:p>
    <w:p>
      <w:pPr>
        <w:spacing w:after="0" w:line="180" w:lineRule="exact"/>
        <w:rPr>
          <w:rFonts w:ascii="Times New Roman" w:cs="Times New Roman" w:eastAsia="Times New Roman" w:hAnsi="Times New Roman"/>
          <w:sz w:val="18"/>
          <w:szCs w:val="18"/>
          <w:color w:val="000000"/>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prospectus supplement shall be deemed to be modified or superseded for purposes of this prospectus supplement to the extent that a statement contained in this prospectus supplement, or in any other subsequently filed document which also is or is deemed to be incorporated by reference into this prospectus supplement, modifies or supersedes such earlier statement. Any statement so modified or superseded shall not be deemed, except as so modified or superseded, to constitute a part of this prospectus supplement.</w:t>
      </w:r>
    </w:p>
    <w:p>
      <w:pPr>
        <w:spacing w:after="0" w:line="183" w:lineRule="exact"/>
        <w:rPr>
          <w:rFonts w:ascii="Times New Roman" w:cs="Times New Roman" w:eastAsia="Times New Roman" w:hAnsi="Times New Roman"/>
          <w:sz w:val="18"/>
          <w:szCs w:val="18"/>
          <w:color w:val="000000"/>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supplement is delivered, upon written or oral request, a copy of any or all of the documents incorporated by reference in this prospectus supplement, including exhibits to these documents. Any such request may be made by writing or calling us at the following address or phone number:</w:t>
      </w:r>
    </w:p>
    <w:p>
      <w:pPr>
        <w:spacing w:after="0" w:line="176"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7"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5972 NE 4th Avenue</w:t>
      </w:r>
    </w:p>
    <w:p>
      <w:pPr>
        <w:spacing w:after="0" w:line="9"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Miami, FL 33137</w:t>
      </w:r>
    </w:p>
    <w:p>
      <w:pPr>
        <w:spacing w:after="0" w:line="9"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000000"/>
        </w:rPr>
      </w:pPr>
    </w:p>
    <w:p>
      <w:pPr>
        <w:ind w:left="5460" w:right="5060" w:hanging="398"/>
        <w:spacing w:after="0" w:line="555" w:lineRule="auto"/>
        <w:tabs>
          <w:tab w:leader="none" w:pos="550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507-8799 S-16</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3429000" cy="626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3429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7,000,000 Shares of Class A Common Stock Offered by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an aggregate amount of $100,000,000 of our Class A common stock, preferred stock, warrants, subscription rights and units, in any combination. In addition, the selling stockholder named in this prospectus may offer and sell, from time to time, up to 7,000,000 shares of our Class A common stock under this prospectus. We will not receive any of the proceeds from the sale of our Class A common stock by the selling stockholder.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Each time we, and if applicable the selling stockholder, offer and sell securities, we or the selling stockholder will file a prospectus supplement to this prospectus that contains specific information about the offering and, if applicable, the amounts, prices and terms of the securities. Such supplements may also add, update or change information contained in this prospectus. You should carefully read this prospectus and the applicable prospectus supplement before you invest in any of our securities.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In addition, the selling stockholder may offer and sell shares of our Class A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“MSGM.” On January 27, 2022, the last reported sale price of our Class A common stock on the Nasdaq Capital Market was $3.40 per share.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January 27, 2022, the aggregate market value of our outstanding Class A common stock held by non-affiliates was approximately $15.7 million based on 4,605,564 shares of Class A common stock held by non-affiliates on such date, and based on the last reported sale price of our Class A common stock on the Nasdaq Capital Market on such date of $3.40 per share. Pursuant to General Instruction I.B.6 of Form S-3, in no event will we sell securities pursuant to this prospectus with a value of more than one-third of the aggregate market value of our Class A common stock held by non-affiliates in any 12-month period, so long as the aggregate market value of our Class A common stock held by non-affiliates is less than $75 million. During the prior 12 calendar month period ending on, and including, the date of this prospectus, we have not sold any securities pursuant to General Instruction I.B.6 of Form S-3.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and are subject to reduced public company reporting requirements.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3 OF THIS PROSPECTUS AND ANY SIMILAR SECTION CONTAINED IN THE APPLICABLE PROSPECTUS SUPPLEMENT CONCERNING FACTORS YOU SHOULD CONSIDER BEFORE INVESTING IN OUR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February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23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ABOUT THIS PROSPECTUS</w:t>
            </w:r>
          </w:p>
        </w:tc>
        <w:tc>
          <w:tcPr>
            <w:tcW w:w="6340" w:type="dxa"/>
            <w:vAlign w:val="bottom"/>
            <w:tcBorders>
              <w:bottom w:val="single" w:sz="8" w:color="CCEEFF"/>
            </w:tcBorders>
            <w:gridSpan w:val="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ind w:left="2160"/>
              <w:spacing w:after="0" w:line="176" w:lineRule="exact"/>
              <w:rPr>
                <w:sz w:val="20"/>
                <w:szCs w:val="20"/>
                <w:color w:val="auto"/>
              </w:rPr>
            </w:pPr>
            <w:r>
              <w:rPr>
                <w:rFonts w:ascii="Times New Roman" w:cs="Times New Roman" w:eastAsia="Times New Roman" w:hAnsi="Times New Roman"/>
                <w:sz w:val="18"/>
                <w:szCs w:val="18"/>
                <w:b w:val="1"/>
                <w:bCs w:val="1"/>
                <w:color w:val="auto"/>
              </w:rPr>
              <w:t>ii</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7360" w:type="dxa"/>
            <w:vAlign w:val="bottom"/>
            <w:tcBorders>
              <w:bottom w:val="single" w:sz="8" w:color="CCEEFF"/>
            </w:tcBorders>
            <w:gridSpan w:val="14"/>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3</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SPECIAL NOTE REGARDING 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7020" w:type="dxa"/>
            <w:vAlign w:val="bottom"/>
            <w:tcBorders>
              <w:bottom w:val="single" w:sz="8" w:color="CCEEFF"/>
            </w:tcBorders>
            <w:gridSpan w:val="12"/>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7</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CAPITAL STOCK</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15</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176"/>
        </w:trPr>
        <w:tc>
          <w:tcPr>
            <w:tcW w:w="21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6540" w:type="dxa"/>
            <w:vAlign w:val="bottom"/>
            <w:tcBorders>
              <w:top w:val="single" w:sz="8" w:color="CCEEFF"/>
            </w:tcBorders>
            <w:gridSpan w:val="10"/>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24</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7860" w:type="dxa"/>
            <w:vAlign w:val="bottom"/>
            <w:tcBorders>
              <w:bottom w:val="single" w:sz="8" w:color="CCEEFF"/>
            </w:tcBorders>
            <w:gridSpan w:val="1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24</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24</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using a “shelf” registration process. By using a shelf registration statement, we may sell securities described in this prospectus from time to time and in one or more offerings up to an aggregate dollar amount of $100,000,000. This prospectus provides you with a general description of our securities that we may offer, which is not meant to be a complete description of each of the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this shelf registration process, the selling stockholder named herein may, from time to time, sell shares of our Class A common stock offered by them described in this prospectus. We will not receive any proceeds from the sale by such selling stockholder of such shares of our Class A common stock.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required by applicable law, each time we or the selling stockholder sell securities, we or the selling stockholder will provide you with this prospectus and, to the extent required, a prospectus supplement that will contain more information about the specific terms of the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the “Company,” “we,” “us” and “our” refer to Motorsport Games Inc., a Delaware corporation,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524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Motorsport Games is a leading racing game developer, publisher and esports ecosystem provider of official motorsport racing series throughout the world, including NASCAR, the iconic 24 Hours of Le Mans endurance race and the associated FIA World Endurance Championship, the British Touring Car Championship, INDYCAR and others. Through the support of our majority stockholder, </w:t>
      </w:r>
      <w:r>
        <w:rPr>
          <w:rFonts w:ascii="Times New Roman" w:cs="Times New Roman" w:eastAsia="Times New Roman" w:hAnsi="Times New Roman"/>
          <w:sz w:val="18"/>
          <w:szCs w:val="18"/>
          <w:color w:val="auto"/>
          <w:highlight w:val="white"/>
        </w:rPr>
        <w:t>Motorsport Network, LLC (“Motorsport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Network”)</w:t>
      </w:r>
      <w:r>
        <w:rPr>
          <w:rFonts w:ascii="Times New Roman" w:cs="Times New Roman" w:eastAsia="Times New Roman" w:hAnsi="Times New Roman"/>
          <w:sz w:val="18"/>
          <w:szCs w:val="18"/>
          <w:color w:val="auto"/>
        </w:rPr>
        <w:t>, whose mission is to be the leading, independent voice for the global motorsport and automotive industries and their fans, Motorsport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Games’ corporate mission is to create the preeminent motorsport gaming and esports entertainment ecosystem by delivering the highest quality, most sophisticated and innovative experiences for racers, gamers and fans of all ages. Our products and services target a large and underserved global motorsport audience.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Started in 2018 as a wholly-owned subsidiary of Motorsport Network, we develop and publish multi-platform racing video games including for game consoles, personal computers (PCs) and mobile platforms through various retail and digital channels, including full-game and downloadable content (sometimes known as “games-as-a-service”). Since our formation, our NASCAR video games have sold over one million copies for game consoles and PCs.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Motorsport Gaming US LLC was organized as a limited liability company on August 2, 2018 under the laws of the State of Florida. On January 8, 2021, Motorsport Gaming US LLC converted into a Delaware corporation pursuant to a statutory conversion and changed its name to Motorsport Games Inc. in connection with our initial public offering. Effective as of January 8, 2021, 100% of the membership interests held by the sole member of Motorsport Gaming US LLC, Motorsport Network, converted into an aggregate of (i) 7,000,000 shares of Class A common stock of Motorsport Games Inc. and (ii) 7,000,000 shares of Class B common stock of Motorsport Games Inc., representing all of the outstanding shares of Class A and Class B common stock immediately following the corporate conversion.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5972 NE 4th Avenue Miami, FL 33137, and our telephone number is (305) 507-8799. Our website address is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None of the information contained on, or that may be accessed through, our website is a prospectus or constitutes part of, or is otherwise incorporated into,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38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That May Be Offered</w:t>
            </w:r>
          </w:p>
        </w:tc>
        <w:tc>
          <w:tcPr>
            <w:tcW w:w="7340" w:type="dxa"/>
            <w:vAlign w:val="bottom"/>
            <w:tcBorders>
              <w:top w:val="single" w:sz="8" w:color="auto"/>
              <w:right w:val="single" w:sz="8" w:color="auto"/>
            </w:tcBorders>
          </w:tcPr>
          <w:p>
            <w:pPr>
              <w:spacing w:after="0"/>
              <w:rPr>
                <w:sz w:val="24"/>
                <w:szCs w:val="24"/>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Motorsport Games Inc., a Delaware corporation</w:t>
            </w:r>
          </w:p>
        </w:tc>
      </w:tr>
      <w:tr>
        <w:trPr>
          <w:trHeight w:val="410"/>
        </w:trPr>
        <w:tc>
          <w:tcPr>
            <w:tcW w:w="40" w:type="dxa"/>
            <w:vAlign w:val="bottom"/>
            <w:tcBorders>
              <w:right w:val="single" w:sz="8" w:color="auto"/>
            </w:tcBorders>
          </w:tcPr>
          <w:p>
            <w:pPr>
              <w:spacing w:after="0"/>
              <w:rPr>
                <w:sz w:val="24"/>
                <w:szCs w:val="24"/>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7340" w:type="dxa"/>
            <w:vAlign w:val="bottom"/>
            <w:tcBorders>
              <w:right w:val="single" w:sz="8" w:color="auto"/>
            </w:tcBorders>
          </w:tcPr>
          <w:p>
            <w:pPr>
              <w:spacing w:after="0"/>
              <w:rPr>
                <w:sz w:val="24"/>
                <w:szCs w:val="24"/>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8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Primary Securities Offered</w:t>
            </w: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We may offer up to $100,000,000 of:</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73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 Class A common stock;</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 preferred stock;</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 warrants;</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 subscription rights; and</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 units.</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We may also offer securities of the types listed above that are convertible or exchangeable</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into one or more of the securities listed above.</w:t>
            </w:r>
          </w:p>
        </w:tc>
      </w:tr>
      <w:tr>
        <w:trPr>
          <w:trHeight w:val="432"/>
        </w:trPr>
        <w:tc>
          <w:tcPr>
            <w:tcW w:w="40" w:type="dxa"/>
            <w:vAlign w:val="bottom"/>
            <w:tcBorders>
              <w:right w:val="single" w:sz="8" w:color="auto"/>
            </w:tcBorders>
          </w:tcPr>
          <w:p>
            <w:pPr>
              <w:spacing w:after="0"/>
              <w:rPr>
                <w:sz w:val="24"/>
                <w:szCs w:val="24"/>
                <w:color w:val="auto"/>
              </w:rPr>
            </w:pPr>
          </w:p>
        </w:tc>
        <w:tc>
          <w:tcPr>
            <w:tcW w:w="38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Secondary Securities Offered</w:t>
            </w: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The selling stockholder may offer up to 7,000,000 shares of our Class A common stock.</w:t>
            </w:r>
          </w:p>
        </w:tc>
      </w:tr>
      <w:tr>
        <w:trPr>
          <w:trHeight w:val="410"/>
        </w:trPr>
        <w:tc>
          <w:tcPr>
            <w:tcW w:w="40" w:type="dxa"/>
            <w:vAlign w:val="bottom"/>
            <w:tcBorders>
              <w:right w:val="single" w:sz="8" w:color="auto"/>
            </w:tcBorders>
          </w:tcPr>
          <w:p>
            <w:pPr>
              <w:spacing w:after="0"/>
              <w:rPr>
                <w:sz w:val="24"/>
                <w:szCs w:val="24"/>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340" w:type="dxa"/>
            <w:vAlign w:val="bottom"/>
            <w:tcBorders>
              <w:right w:val="single" w:sz="8" w:color="auto"/>
            </w:tcBorders>
          </w:tcPr>
          <w:p>
            <w:pPr>
              <w:spacing w:after="0"/>
              <w:rPr>
                <w:sz w:val="24"/>
                <w:szCs w:val="24"/>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38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w:t>
            </w: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by us for general</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corporate purposes, which includes working capital, potential acquisitions, retirement of</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debt and other business opportunities, unless otherwise indicated in the applicable</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 our Class A common stock</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by the selling stockholder</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page 3 of this prospectus, and any other risk factors described in a prospectus supplement</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and in the documents incorporated herein and therein by reference, for a discussion of</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certain factors that you should carefully consider before deciding to invest in our</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securities.</w:t>
            </w:r>
          </w:p>
        </w:tc>
      </w:tr>
      <w:tr>
        <w:trPr>
          <w:trHeight w:val="432"/>
        </w:trPr>
        <w:tc>
          <w:tcPr>
            <w:tcW w:w="40" w:type="dxa"/>
            <w:vAlign w:val="bottom"/>
            <w:tcBorders>
              <w:right w:val="single" w:sz="8" w:color="auto"/>
            </w:tcBorders>
          </w:tcPr>
          <w:p>
            <w:pPr>
              <w:spacing w:after="0"/>
              <w:rPr>
                <w:sz w:val="24"/>
                <w:szCs w:val="24"/>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Nasdaq Capital Market Trading Symbol</w:t>
            </w:r>
          </w:p>
        </w:tc>
        <w:tc>
          <w:tcPr>
            <w:tcW w:w="734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MSGM</w:t>
            </w:r>
          </w:p>
        </w:tc>
      </w:tr>
      <w:tr>
        <w:trPr>
          <w:trHeight w:val="219"/>
        </w:trPr>
        <w:tc>
          <w:tcPr>
            <w:tcW w:w="40" w:type="dxa"/>
            <w:vAlign w:val="bottom"/>
            <w:tcBorders>
              <w:right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734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69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“forward-looking statements” within the meaning of federal securities laws, including statements that involve expectations, plans or intentions, such as, but not limited to, those relating to:</w:t>
      </w:r>
    </w:p>
    <w:p>
      <w:pPr>
        <w:spacing w:after="0" w:line="176"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results of operations, financial condition and/or liquidity, including with respect to the ongoing effects of the COVID-19 pandemic;</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planned products or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expand our license arrangements to other internationally recognized racing series and the platforms we operate 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having a broader product portfolio will improve our operating results and provide a revenue stream that is less cyclical based on the release of a single game per year;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drive ongoing engagement and incremental revenue from recurrent consumer spending on our titles through in-game purchases and extra content;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derive significant revenues from sales of our products to a very limited number of distribution partners;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additions to our existing portfolio of games centered around popular licensed racing series will provide us the opportunity to further grow our esports business by having more titles to produce our esports events;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invest in technology, hardware and software to support our games and services, including with respect to security protections;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continue to look for opportunities to expand the recurring portion of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may choose to raise additional funds at any time through equity or debt financing arrangements, which may or may not be needed for additional working capital, capital expenditures or other strategic investments, as well as our cash flows and anticipated uses of cash;</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impact of any claims and litigation that we are subject 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strategies.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words such as “could,” “would,” “may,” “might,” “will,” “expect,” “likely,” “believe,” “continue,” “anticipate,” “estimate,” “intend,” “plan,” “project” and other similar expressions to identify some forward-looking statements, but not all forward-looking statements include these words. Forward-looking statements are based on assumptions that we have made in light of our industry experience and our perceptions of historical trends, current conditions, expected future developments and other factors we believe are appropriate under the circumstances. You are cautioned that these statements are not guarantees of performance or results. They involve risks, uncertainties (many of which are beyond our control) and assumptions.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We discuss in greater detail many of these risks in the applicable prospectus supplement, in any free writing prospectuses we may authorize for use in connection with a specific offering, in our most recent annual report on Form 10-K and in our most recent quarterly report on Form 10-Q, as well as any amendments thereto, and in our subsequent filings with the SEC, which are incorporated by reference into this prospectus in their entirety. These include, but are not limited to, the following principal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consistently deliver popular products or if consumers prefer competing products, our business may be negatively impacted.</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products are highly concentrated in the racing game genre, and our operating results may suffer if consumer preferences shift away from this genre.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provide high-quality products in a timely manner, our business operations, financial performance, financial condition, liquidity, cash flows and/or results of operations may be negatively impacted.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and prolonged COVID-19 pandemic has impacted our operations and could continue to adversely affect our business operations, financial performance, financial condition, liquidity, cash flows and/or results of operations, the extent of which is uncertain and difficult to predict.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consumer spending and other adverse changes in the economy could have a material adverse effect on our business, financial condition, liquidity, cash flows and/or operating results.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relatively small number of franchises for a significant portion of our revenues and profits.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maintain licenses to intellectual property, especially for sports titles, affects our revenues and profitability.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retail sales to our business exposes us to the risks of that business model.</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primarily depend on a single third-party distribution partner to distribute our games for the retail channel, and our ability to negotiate favorable terms with such partner and its continued willingness to purchase our games is critical for our business.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to generate a portion of our revenues from advertising and sponsorship during our esports events. If we are unable to attract more advertisers and sponsors to our gaming platform, tournaments or competitions, our revenues may be adversely affected.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the retention of certain key personnel and the hiring of strategically valuable personnel, and we may lose or be unable to hire one or more of such personnel, which could adversely affect our ability to achieve our business plans and financial objectives.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relies heavily on our marketing and branding efforts, and these efforts may not be accepted by consumers to the extent we planned.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address the shift to mobile device technology by our customers, operating results could be harmed and our financial performance, financial condition, liquidity, cash flows and/or growth plans could be negatively affected.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our intellectual property, technology and confidential information could harm our business and operating results.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Motorsport Network controls more than a majority of our Class A common stock and holds all of Class B common stock and therefore it has the ability to exert significant control over the direction of our business, which could prevent other stockholders from influencing significant decisions regarding our business plans and other matters.</w:t>
      </w:r>
    </w:p>
    <w:p>
      <w:pPr>
        <w:spacing w:after="0" w:line="1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6" w:name="page27"/>
    <w:bookmarkEnd w:id="26"/>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 longer controlled by or affiliated with Motorsport Network, we may be unable to continue to benefit from that relationship, which may adversely affect our operations and have a material adverse effect on us and our financial performance, financial condition, liquidity and/or cash flows.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may continue to experience losses in the future, which could adversely impact our ability to invest in new product development, marketing, advertising and other activities that are important to achieving our business plans and financial objectives.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current business and future prospects, and we may not be able to effectively grow our business or implement our business strategies.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we cannot be certain if the reduced disclosure requirements applicable to us will make our Class A common stock less attractive to investors.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payments, costs, expenses and liabilities or other unanticipated consequences arising from pending or future litigation.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expected liquidity or the unavailability of additional sources of funds from equity or debt financing arrangements, from less than anticipated cash generated by our operations, from less than expected availability of funds under the promissory note from Motorsport Network, from higher than expected operating expenses (such as higher than expected capital expenditures, debt service payments and costs, cash tax payments, acquisitions, joint ventures and/or licensing arrangements, costs related to litigation, advertising, promotional and marketing activities or for product sales returns by our customers or otherwise), from the inability to efficiently manage cash and working capital and/or from macroeconomic trends, such as higher inflation and interest rates and taxes.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our sale of securities offered by this prospectus for general corporate purposes, which includes working capital, potential acquisitions, retirement of debt and other business opportunities. The timing and amount of our actual expenditures will be based on many factors; therefore, unless otherwise indicated in the prospectus supplement, our management will have broad discretion to allocate the net proceeds of our offerings. The specific allocations of the proceeds we receive from our sale of our securities will be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 our Class A common stock by the selling stockholder.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Class A common stock, par value $0.0001 per share, 7,000,000 shares of Class B common stock, par value $0.0001 per share, and 1,000,000 shares of preferred stock, par value $0.0001 per share. As of the date of this prospectus, we had 11,673,587 shares of Class A common stock and 7,000,000 shares of Class B common stock outstanding and no shares of preferred stock outstanding.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certificate of incorporation, our bylaws and the applicable provisions of the Delaware General Corporation Law (the “DGCL”). This description is not complete and is subject to, and qualified in its entirety by reference to, our certificate of incorporation and our bylaws, each of which is incorporated by reference as an exhibit to the registration statement of which this prospectus forms a part, and the DGCL. You should read our certificate of incorporation, our bylaws and the applicable provisions of the DGCL for a complete statement of the provisions described below and for other provisions that may be important to you. For information on how to obtain copies of our certificate of incorporation and our bylaws, see “Where You Can Find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January 8, 2021, we operated as a Florida limited liability company under the name Motorsport Gaming US LLC. On January 8, 2021, Motorsport Gaming US LLC converted into a Delaware corporation pursuant to a statutory conversion and changed its name to Motorsport Games Inc.</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January 8, 2021, 100% of the membership interests held by the sole member of Motorsport Gaming US LLC, Motorsport Network, converted into an aggregate of (i) 7,000,000 shares of Class A common stock of Motorsport Games Inc. (the “MSN Initial Class A Shares”) and (ii) 7,000,000 shares of Class B common stock of Motorsport Games Inc., representing all of the outstanding shares of Class A and Class B common stock immediately following the corporate conversion. Motorsport Network is the only holder of shares of our Class B common stock and does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on all matters submitted to a vote of stockholders and holders of our Class B common stock are entitled to 10 votes for each share held on all matters submitted to a vote of stockholders. The holders of our Class A common stock and Class B common stock will vote together as a single class, unless otherwise required by law. Under our certificate of incorporation, approval of the holders of a majority of the Class B common stock will be required to increase or decrease the number of authorized shares of our Class B common stock, and the approval of two-thirds of the Class B common stock will be required to amend or repeal, or adopt any provision inconsistent with, or otherwise alter, any provision of our certificate of incorporation that modifies the voting, par value, conversion or other rights, powers, preferences, special rights, privileges or restrictions of the Class B common stock. In addition, Delaware law could require either holders of our Class A common stock or our Class B common stock to vote separately as a single class in the following circumstances:</w:t>
      </w:r>
    </w:p>
    <w:p>
      <w:pPr>
        <w:spacing w:after="0" w:line="192"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certificate of incorporation to increase or decrease the aggregate number of authorized shares or par value of a class of stock, then that class would be required to vote separately to approve the proposed amendment;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shares of Class A common stock are entitled to dividends when and as declared by our board of directors from funds legally available therefor if, as and when determined by our board of directors in its sole discretion, subject to provisions of law and any provision of our certificate of incorporation, as amended from time to time. The holder of Class B common stock will not be entitled to receive any dividends with respect to the shares of Class B common stock, except dividends payable in shares of Class B common stock or rights to acquire shares of Class B common stock that may be declared and paid to the holder of Class B common stock to proportionally adjust for dividends payable in shares of Class A common stock or rights to acquire shares of Class A common stock that are declared and paid to the holders of Class A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A common stock and any participating preferred stock outstanding at that time will be entitled to share ratably in the net assets legally available for distribution to stockholders after the payment of or provision for all of our debts and other liabilities, and the preferential rights of and the payment of liquidation preferences, if any, on any outstanding shares of preferred stock. The holder of Class B common stock will not be entitled to receive any liquidation distributions with respect to the shares of Class B common stock.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common stock are duly authorized, validly issued, fully paid and non-assessable.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preemptive, conversion or redemption privileges, nor sinking fund provisions with respect to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up to 1,000,000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may offer. We will describe in the applicable prospectus supplement the terms of the series of preferred stock that we may offer, including, to the extent applicable:</w:t>
      </w:r>
    </w:p>
    <w:p>
      <w:pPr>
        <w:spacing w:after="0" w:line="183"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may offer;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applicable;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as well as our certificate of incorporation and our bylaws, may have the effect of delaying, deferring or discouraging another person from acquiring control of us. These provisions include the items described below.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of the DGCL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an amendment approved by at least a majority of the outstanding voting shares. We have not opted out of these provisions. As a result, mergers or other takeover or change in control attempts of us may be discouraged or prevented. These provisions may have the effect of delaying, deferring or preventing changes in control of our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our bylaws include a number of provisions that could deter hostile takeovers or delay or prevent changes in control of our board of directors or management team, including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in “—Common Stock—Voting,” our certificate of incorporation provides for a dual class common stock structure, which will provide the holder of Class B common stock with significant influence over matters requiring stockholder approval, including the election of directors and significant corporate transactions, such as a merger or other sale of our Company or its assets.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is entitled to one vote, while each share of Class B common stock is entitled to ten votes. Motorsport Network is the only holder of shares of our Class B common stock and does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Vacancies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and promotes continuity of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any potential acquirer’s own slate of directors or otherwise attempting to obtain control of our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directors may only be removed for cause and upon the affirmative vote of a majority of the outstanding voting power of our capital stock voting together as a single class.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certificate of incorporation does not provide for cumulative voting.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Charter and Bylaw Provisions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Amendments to our certificate of incorporation will require the approval of two-thirds of the outstanding voting power of our common stock. Our certificate of incorporation and bylaws provide that approval of stockholders holding two-thirds of our outstanding voting power voting as a single class is required for stockholders to amend or adopt any provision of our bylaws.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Ability of Stockholders to Act by Written Consent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stockholders may not act by written consent. This limit on the ability of our stockholders to act by written consent may lengthen the amount of time required to take stockholder actions. As a result, no stockholder, regardless of how large its holdings of our stock are, would be able to amend our bylaws or remove directors without holding a stockholders’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Classification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two classes, with an alternating class being elected each year by our stockholders. The directors in each class will serve for a two-year term. A third party may be discouraged from making a tender offer or otherwise attempting to obtain control of us because it is more difficult and time-consuming for stockholders to replace a majority of the directors on a classified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DGCL or our certificate of incorporation or bylaws or (iv) any action asserting a claim that is governed by the internal affairs doctrine, shall be the Court of Chancery of the State of Delaware; provided that the exclusive forum provision will not apply to suits brought to enforce any liability or duty created by the Securities Exchange Act of 1934, as amended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and bylaws also provide that the federal district courts of the United States of America will be the exclusive forum for the resolution of any complaint asserting a cause of action against us or any of our directors, officers, employees or agents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these provisions may have the effect of discouraging lawsuits against us or our directors and officers. There is uncertainty as to whether a court would enforce such provisions, and the enforceability of similar choice of forum provisions in other companies’ charter documents has been successfully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Worldwide Stock Transfer, LLC. The transfer agent’s address is One University Plaza, Suite 505, Hackensack, New Jersey 07601 and its telephone number is (201) 820-2008.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trading symbol “MSGM.”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or preferred stock or a combination thereof. We may issue warrants independently or together with other securities, and the warrants may be attached to or separate from any offered securities. Each series of warrants would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 terms of any issue of warrants would be described in the prospectus supplement relating to the issue. Those terms may include:</w:t>
      </w:r>
    </w:p>
    <w:p>
      <w:pPr>
        <w:spacing w:after="0" w:line="225"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purchasable upon the exercise of warrants to purchase such shares and the price at which such number of shares may be purchased upon such exercise;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preferred stock or Class A common stock would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would commence and the date on which the right would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consequences applicable to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Until any warrants to purchase shares of our Class A common stock or preferred stock are exercised, the holders of the warrants would not have any rights of holders of the underlying Class A common stock or preferred stock, including any rights to:</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the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Class A common stock or preferred stock or a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and any incorporated documents relating to any rights that we offer would include specific terms relating to the offering, including, among other matters:</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the Class A common stock, preferred stock or other securities upon the exercise of the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Class A common stock, preferred stock, depositary shares or other securities that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amount of securities receivable upon exercise of the subscription rights or of the exercise price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would be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would commence, and the date on which the subscription rights would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or purchase arrangement entered into by us in connection with any offering of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consequences applicable to any rights offering;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transferability, exchange and exercise of the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would issue under a separate agreement. We may enter into unit agreements with a unit agent. We would indicate the name and address of the unit agent in the applicable prospectus supplement relating to a particular series of units.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would contain additional important terms and provisions. We would file as an exhibit to the registration statement of which this prospectus is a part, or would incorporate by reference from another report that we file with the SEC, the form of each unit agreement relating to units offered under this prospectus.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would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would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would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as used in this prospectus, “selling stockholder” includes Motorsport Network and its pledgees, donees, transferees, assignees and others who later come to hold some or all of the Class A common stock being offered by the selling stockholder pursuant to this prospectus. We have prepared this prospectus to allow the selling stockholder to sell or otherwise dispose of, from time to time, up to 7,000,000 shares of our Class A common stock. We will not receive any proceeds from the sale of shares by the selling stockholder.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January 8, 2021, we operated as a Florida limited liability company under the name Motorsport Gaming US LLC. On January 8, 2021, Motorsport Gaming US LLC converted into a Delaware corporation pursuant to a statutory conversion and changed its name to Motorsport Games Inc.</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January 8, 2021, 100% of the membership interests held by the sole member of Motorsport Gaming US LLC, Motorsport Network, converted into an aggregate of (i) 7,000,000 shares of Class A common stock of Motorsport Games Inc. and (ii) 7,000,000 shares of Class B common stock of Motorsport Games Inc., representing all of the outstanding shares of Class A and Class B common stock immediately following the corporate conversion. Motorsport Network is the only holder of shares of our Class B common stock and does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certain information regarding the beneficial ownership of our common stock by the selling stockholder and the shares of our Class A common stock being offered by the selling stockholder pursuant to this prospectus. The applicable percentage ownership of common stock is based on approximately 11,673,587 shares of Class A common stock and 7,000,000 shares of Class B common stock outstanding as of February 1, 2022. Beneficial ownership is determined in accordance with Section 13(d) of the Exchange Act and Rule 13d-3 thereunder.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section entitled “Certain Relationships and Related Transactions” in our definitive proxy statement on Schedule 14A filed with the SEC on April 26, 2021, which is incorporated by reference into this prospectus, for a description of material relationships between us and the selling stockholder.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table is supplied by the selling stockholder. We cannot advise you as to whether the selling stockholder will in fact sell any or all of such shares of Class A common stock. In addition, the selling stockholder may have sold, transferred or otherwise disposed of, or may sell, transfer or otherwise dispose of, at any time and from time to time, the shares of our Class A common stock in transactions exempt from the registration requirements of the Securities Act after the date on which it provided the information set forth in the table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4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 After Sale of All Class A Shares</w:t>
            </w:r>
          </w:p>
        </w:tc>
        <w:tc>
          <w:tcPr>
            <w:tcW w:w="0" w:type="dxa"/>
            <w:vAlign w:val="bottom"/>
          </w:tcPr>
          <w:p>
            <w:pPr>
              <w:spacing w:after="0"/>
              <w:rPr>
                <w:sz w:val="1"/>
                <w:szCs w:val="1"/>
                <w:color w:val="auto"/>
              </w:rPr>
            </w:pPr>
          </w:p>
        </w:tc>
      </w:tr>
      <w:tr>
        <w:trPr>
          <w:trHeight w:val="180"/>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0"/>
          </w:tcPr>
          <w:p>
            <w:pPr>
              <w:jc w:val="center"/>
              <w:ind w:right="575"/>
              <w:spacing w:after="0"/>
              <w:rPr>
                <w:sz w:val="20"/>
                <w:szCs w:val="20"/>
                <w:color w:val="auto"/>
              </w:rPr>
            </w:pPr>
            <w:r>
              <w:rPr>
                <w:rFonts w:ascii="Times New Roman" w:cs="Times New Roman" w:eastAsia="Times New Roman" w:hAnsi="Times New Roman"/>
                <w:sz w:val="14"/>
                <w:szCs w:val="14"/>
                <w:b w:val="1"/>
                <w:bCs w:val="1"/>
                <w:color w:val="auto"/>
              </w:rPr>
              <w:t>Offered Hereby by Selling Stockholder</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vMerge w:val="restart"/>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4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4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66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80"/>
        </w:trPr>
        <w:tc>
          <w:tcPr>
            <w:tcW w:w="1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Power(1)</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Power(1)</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Motorsport Network, LLC(2)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7,000,000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59.96%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7,000,000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94.28%</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7,000,000</w:t>
            </w:r>
          </w:p>
        </w:tc>
        <w:tc>
          <w:tcPr>
            <w:tcW w:w="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Each share of Class A common stock is entitled to one vote, and each share of Class B common stock is entitled to ten votes.</w:t>
      </w:r>
    </w:p>
    <w:p>
      <w:pPr>
        <w:spacing w:after="0" w:line="161" w:lineRule="exact"/>
        <w:rPr>
          <w:rFonts w:ascii="Times New Roman" w:cs="Times New Roman" w:eastAsia="Times New Roman" w:hAnsi="Times New Roman"/>
          <w:sz w:val="18"/>
          <w:szCs w:val="18"/>
          <w:color w:val="auto"/>
        </w:rPr>
      </w:pPr>
    </w:p>
    <w:p>
      <w:pPr>
        <w:ind w:left="5540" w:right="20" w:hanging="5208"/>
        <w:spacing w:after="0" w:line="532" w:lineRule="auto"/>
        <w:tabs>
          <w:tab w:leader="none" w:pos="6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Zoi is the manager of Motorsport Network and has sole voting and dispositive power with respect to the shares held by Motorsport Network.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us under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being offered by us under this prospectus may be solicited directly. Agents may also be designated to solicit offers to purchase the securities offered by us from time to time. Any agent involved in our offer or sale of our securities will be identified in a prospectus supplement.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us under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us under this prospectus, an underwriting agreement will be executed with the underwriter at the time of sale and the name of any underwriter will be provided in the prospectus supplement that the underwriter will use to make resales of the securities to the public. In connection with our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offered by us as a principal, and may then resell the securities at varying prices to be determined by the dealer.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our offering of the securities, and any discounts, concessions or commissions allowed by underwriters to participating dealers will be provided in the applicable prospectus supplement. Underwriters, dealers and agents participating in the distribution of the securities offered by us may be deemed to be underwriters within the meaning of the Securities Act, and any discounts and commissions received by them and any profit realized by them on resale of the securities offered by us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Class A common stock offered by us would be listed on the Nasdaq Capital Market, but any other securities offered by us may or may not be listed on a national securities exchange. To facilitate our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offered by us by bidding for or purchasing securities in the open market or by imposing penalty bids, whereby selling concessions allowed to dealers participating in the offering may be reclaimed if such securities sold by them are repurchased in connection with stabilization transactions. The effect of these transactions may be to stabilize or maintain the market price of the securities offered by us at a level above that which might otherwise prevail in the open market. These transactions may be discontinued at any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would be an underwriter and, if not identified in this prospectus, would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by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including its pledgees, donees, transferees, assignees and others who later come to hold some or all of the Class A common stock being offered by the selling stockholder pursuant to this prospectus, may from time to time offer some or all of the shares of Class A common stock covered by this prospectus. To the extent required, this prospectus may be amended and supplemented from time to time to describe a specific plan of distribution.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shares by the selling stockholder. The selling stockholder may sell the shares of Class A common stock covered by this prospectus from time to time, and may also decide not to sell all or any of the shares of Class A common stock that it is allowed to sell under this prospectus. The selling stockholder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stockholder in one or more types of transactions, which may include:</w:t>
      </w:r>
    </w:p>
    <w:p>
      <w:pPr>
        <w:spacing w:after="0" w:line="187" w:lineRule="exact"/>
        <w:rPr>
          <w:sz w:val="20"/>
          <w:szCs w:val="20"/>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underwriters, dealers and agents who may receive compensation in the form of underwriting discounts, concessions or commissions from the selling stockholder and/or the purchasers of the shares of Class A common stock for whom they may act as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block transactions, including transactions in which the broker or dealer so engaged will attempt to sell the shares of Class A common stock as agent but may position and resell a portion of the block as principal to facilitate the transaction, or in crosses, in which the same broker acts as an agent on both sides of the trade;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or transactions in which a broker solicits purchases;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or market maker,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shares of Class A common stock for any loan or obligation, including pledges to brokers or dealers who may from time to time effect distributions of shares of Class A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or transactions to cover short sales relating to the shares of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exchanges or over-the-counter market transactions;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 by the selling stockholder or its successor in interest to its members, general or limited partners or shareholders (or their respective members, general or limited partners or shareholders);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writing of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creditors and equity holders of the selling stockholder;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 any other available means allowable under applicable law.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resell all or a portion of its Class A common stock in open market transactions in reliance upon Rule 144 under the Securities Act, provided it meets the criteria and conforms to the requirements of Rule 144.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stockholder may enter into sale, forward-sale and derivative transactions with third parties, or may sell securities not covered by this prospectus to third parties in privately negotiated transactions. If the applicable prospectus supplement indicates, in connection with those sale, forward-sale or derivative transactions, the third parties may sell securities covered by this prospectus or the applicable prospectus supplement, including in short sale transactions and by issuing securities that are not covered by this prospectus, but are exchangeable for or represent beneficial interests in the Class A common stock. The third parties also may use shares received under those sale, forward-sale or derivative arrangements or shares pledged by the selling stockholder or borrowed from the selling stockholder or others to settle such third-party sales or to close out any related open borrowings of Class A common stock. The third parties may deliver this prospectus in connection with any such transactions. Any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 may engage in hedging transactions with broker-dealers in connection with distributions of Class A common stock or otherwise. In those transactions, broker-dealers may engage in short sales of securities in the course of hedging the positions they assume with the selling stockholder. The selling stockholder may also sell securities short and redeliver securities to close out such short positions. The selling stockholder may also enter into option or other transactions with broker-dealers which require the delivery of securities to the broker-dealer. The broker-dealer may then resell or otherwise transfer such securities pursuant to this prospectus. The selling stockholder also may loan or pledge shares, and the borrower or pledgee may sell or otherwise transfer the Class A common stock so loaned or pledged pursuant to this prospectus or under Rule 144. Such borrower or pledgee also may transfer those shares of Class A common stock to investors in our securities or the selling stockholder’s securities or in connection with the offering of other securities not covered by this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necessary, we may amend or supplement this prospectus from time to time to describe a specific plan of distribution. We will file a supplement to this prospectus, if required, upon being notified by the selling stockholder that any material arrangement has been entered into with a broker-dealer for the sale of shares through a block trade, offering or a purchase by a broker or dealer. The applicable prospectus supplement will set forth the specific terms of the offering of securities, including:</w:t>
      </w:r>
    </w:p>
    <w:p>
      <w:pPr>
        <w:spacing w:after="0" w:line="180"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stockholder and the participating broker-dealer;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such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to the selling stockholder from the sale of such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or agents,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agency fees or other compensation to underwriters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paid to dealers.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sales of Class A common stock covered hereby, the selling stockholder and any underwriter, broker-dealer or agent and any other participating broker-dealer that executes sales for the selling stockholder may be deemed to be an “underwriter” within the meaning of the Securities Act. Accordingly, any profits realized by the selling stockholder and any compensation earned by such underwriter, broker-dealer or agent may be deemed to be underwriting discounts and commissions. Because the selling stockholder may be deemed to be an “underwriter” under the Securities Act, the selling stockholder must deliver this prospectus and any prospectus supplement in the manner required by the Securities Act. This prospectus delivery requirement may be satisfied through the facilities of the Nasdaq Capital Market in accordance with Rule 153 under the Securities 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the selling stockholder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stockholder or its affiliates in the ordinary course of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will be subject to applicable provisions of Regulation M of the Exchange Act and the rules and regulations thereunder, which provisions may limit the timing of purchases and sales of any of the Class A common stock by the selling stockholder. Regulation M may also restrict the ability of any person engaged in the distribution of the Class A common stock to engage in market-making activities with respect to the Class A common stock. These restrictions may affect the marketability of such Class A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comply with applicable securities laws of some states, the Class A common stock may be sold in those jurisdictions only through registered or licensed brokers or dealers. In addition, in certain states the Class A common stock may not be sold unless they have been registered or qualified for sale in the applicable state or an exemption from the registration or qualification requirements is available. In addition, any Class A common stock of the selling stockholder covered by this prospectus that qualifies for sale pursuant to Rule 144 under the Securities Act may be sold in open market transactions under Rule 144 rather than pursuant to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Snell &amp; Wilmer L.L.P., Los Angeles, California. Additional legal matters may be passed upon for us, the selling stockholder or any underwriters, dealers or agents, by counsel named in the applicable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Motorsport Gaming US LLC and subsidiaries as of December 31, 2020 and 2019 and for the fiscal years then ended, have been audited by Dixon Hughes Goodman LLP, independent registered public accounting firm, as set forth in their report thereon, included in Motorsport Games Inc.’s Annual Report on Form 10-K for the fiscal year ended December 31, 2020, and incorporated herein by reference. Such consolidated financial statements have been incorporated herein by reference in reliance upon such report given 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obtain a copy of the registration statement through the SEC’s website, as provided above.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None of the information contained on, or that may be accessed through, our website is a prospectus or constitutes part of, or is otherwise incorporated into, this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2020 (the “2020 Form 10-K”), filed with the SEC on March 24, 2021;</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77">
        <w:r>
          <w:rPr>
            <w:rFonts w:ascii="Times New Roman" w:cs="Times New Roman" w:eastAsia="Times New Roman" w:hAnsi="Times New Roman"/>
            <w:sz w:val="18"/>
            <w:szCs w:val="18"/>
            <w:u w:val="single" w:color="auto"/>
            <w:color w:val="0000EE"/>
          </w:rPr>
          <w:t>March 31, 2021</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June 30,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9">
        <w:r>
          <w:rPr>
            <w:rFonts w:ascii="Times New Roman" w:cs="Times New Roman" w:eastAsia="Times New Roman" w:hAnsi="Times New Roman"/>
            <w:sz w:val="18"/>
            <w:szCs w:val="18"/>
            <w:u w:val="single" w:color="auto"/>
            <w:color w:val="0000EE"/>
          </w:rPr>
          <w:t>September 30, 2021</w:t>
        </w:r>
      </w:hyperlink>
      <w:r>
        <w:rPr>
          <w:rFonts w:ascii="Times New Roman" w:cs="Times New Roman" w:eastAsia="Times New Roman" w:hAnsi="Times New Roman"/>
          <w:sz w:val="18"/>
          <w:szCs w:val="18"/>
          <w:color w:val="auto"/>
        </w:rPr>
        <w:t>, filed with the SEC on May 17, 2021, August 11, 2021 and November 4, 2021, respectively;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15,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27,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18,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19,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15,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20,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21,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81">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with respect to Item 7.01 and Exhibit 99.1),</w:t>
        </w:r>
        <w:r>
          <w:rPr>
            <w:rFonts w:ascii="Times New Roman" w:cs="Times New Roman" w:eastAsia="Times New Roman" w:hAnsi="Times New Roman"/>
            <w:sz w:val="18"/>
            <w:szCs w:val="18"/>
            <w:color w:val="0000EE"/>
          </w:rPr>
          <w:t xml:space="preserve"> </w:t>
        </w:r>
      </w:hyperlink>
      <w:hyperlink r:id="rId82">
        <w:r>
          <w:rPr>
            <w:rFonts w:ascii="Times New Roman" w:cs="Times New Roman" w:eastAsia="Times New Roman" w:hAnsi="Times New Roman"/>
            <w:sz w:val="18"/>
            <w:szCs w:val="18"/>
            <w:u w:val="single" w:color="auto"/>
            <w:color w:val="0000EE"/>
          </w:rPr>
          <w:t>August 25, 2021</w:t>
        </w:r>
      </w:hyperlink>
      <w:hyperlink r:id="rId8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September 7, 2021</w:t>
        </w:r>
      </w:hyperlink>
      <w:hyperlink r:id="rId8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 xml:space="preserve">January 10, 2022 </w:t>
        </w:r>
      </w:hyperlink>
      <w:hyperlink r:id="rId8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5">
        <w:r>
          <w:rPr>
            <w:rFonts w:ascii="Times New Roman" w:cs="Times New Roman" w:eastAsia="Times New Roman" w:hAnsi="Times New Roman"/>
            <w:sz w:val="18"/>
            <w:szCs w:val="18"/>
            <w:u w:val="single" w:color="auto"/>
            <w:color w:val="0000EE"/>
          </w:rPr>
          <w:t>January 21, 2022</w:t>
        </w:r>
      </w:hyperlink>
      <w:hyperlink r:id="rId81">
        <w:r>
          <w:rPr>
            <w:rFonts w:ascii="Times New Roman" w:cs="Times New Roman" w:eastAsia="Times New Roman" w:hAnsi="Times New Roman"/>
            <w:sz w:val="18"/>
            <w:szCs w:val="18"/>
            <w:color w:val="000000"/>
          </w:rPr>
          <w:t>;</w:t>
        </w:r>
      </w:hyperlink>
    </w:p>
    <w:p>
      <w:pPr>
        <w:spacing w:after="0" w:line="175"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the 2020 Form 10-K from our Definitive Proxy Statement on </w:t>
      </w:r>
      <w:hyperlink r:id="rId8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26, 2021;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our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001-39868), filed with the SEC on January 7,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76"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5972 NE 4th Avenue</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Miami, FL 33137</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507-8799</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2068195</wp:posOffset>
            </wp:positionH>
            <wp:positionV relativeFrom="page">
              <wp:posOffset>612140</wp:posOffset>
            </wp:positionV>
            <wp:extent cx="3411855" cy="625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3411855" cy="6254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232,188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457200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lvl w:ilvl="1">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305"/>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30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jpe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jpe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27" Type="http://schemas.openxmlformats.org/officeDocument/2006/relationships/hyperlink" Target="https://www.sec.gov/Archives/edgar/data/1821175/000149315222008160/form10-k.htm" TargetMode="External"/><Relationship Id="rId28" Type="http://schemas.openxmlformats.org/officeDocument/2006/relationships/hyperlink" Target="https://www.sec.gov/Archives/edgar/data/1821175/000149315222011308/formdef14a.htm" TargetMode="External"/><Relationship Id="rId29" Type="http://schemas.openxmlformats.org/officeDocument/2006/relationships/hyperlink" Target="https://www.sec.gov/Archives/edgar/data/1821175/000149315222013806/form10-q.htm" TargetMode="External"/><Relationship Id="rId30" Type="http://schemas.openxmlformats.org/officeDocument/2006/relationships/hyperlink" Target="https://www.sec.gov/Archives/edgar/data/1821175/000149315222021890/form10-q.htm" TargetMode="External"/><Relationship Id="rId31" Type="http://schemas.openxmlformats.org/officeDocument/2006/relationships/hyperlink" Target="https://www.sec.gov/Archives/edgar/data/1821175/000149315222032921/form10-q.htm" TargetMode="External"/><Relationship Id="rId32" Type="http://schemas.openxmlformats.org/officeDocument/2006/relationships/hyperlink" Target="https://www.sec.gov/Archives/edgar/data/1821175/000149315222011422/form8-k.htm" TargetMode="External"/><Relationship Id="rId33" Type="http://schemas.openxmlformats.org/officeDocument/2006/relationships/hyperlink" Target="https://www.sec.gov/Archives/edgar/data/1821175/000149315222025993/form8-k.htm" TargetMode="External"/><Relationship Id="rId34" Type="http://schemas.openxmlformats.org/officeDocument/2006/relationships/hyperlink" Target="https://www.sec.gov/Archives/edgar/data/1821175/000149315222032208/form8-k.htm" TargetMode="External"/><Relationship Id="rId35" Type="http://schemas.openxmlformats.org/officeDocument/2006/relationships/hyperlink" Target="https://www.sec.gov/Archives/edgar/data/1821175/000149315222034980/form8-k.htm" TargetMode="External"/><Relationship Id="rId36" Type="http://schemas.openxmlformats.org/officeDocument/2006/relationships/hyperlink" Target="https://www.sec.gov/Archives/edgar/data/1821175/000149315222036538/form8-k.htm" TargetMode="External"/><Relationship Id="rId37" Type="http://schemas.openxmlformats.org/officeDocument/2006/relationships/hyperlink" Target="https://www.sec.gov/Archives/edgar/data/1821175/000149315223001355/form8-k.htm" TargetMode="External"/><Relationship Id="rId38" Type="http://schemas.openxmlformats.org/officeDocument/2006/relationships/hyperlink" Target="https://www.sec.gov/Archives/edgar/data/1821175/000149315223001790/form8-k.htm" TargetMode="External"/><Relationship Id="rId39" Type="http://schemas.openxmlformats.org/officeDocument/2006/relationships/hyperlink" Target="https://www.sec.gov/Archives/edgar/data/1821175/000149315223002756/form8-k.htm" TargetMode="External"/><Relationship Id="rId40" Type="http://schemas.openxmlformats.org/officeDocument/2006/relationships/hyperlink" Target="https://www.sec.gov/Archives/edgar/data/1821175/000149315223002908/form8-k.htm" TargetMode="External"/><Relationship Id="rId41" Type="http://schemas.openxmlformats.org/officeDocument/2006/relationships/hyperlink" Target="https://www.sec.gov/Archives/edgar/data/1821175/000149315223003364/form8-k.htm" TargetMode="External"/><Relationship Id="rId42" Type="http://schemas.openxmlformats.org/officeDocument/2006/relationships/hyperlink" Target="https://www.sec.gov/Archives/edgar/data/1821175/000149315223003467/form8-k.htm" TargetMode="External"/><Relationship Id="rId43" Type="http://schemas.openxmlformats.org/officeDocument/2006/relationships/hyperlink" Target="https://www.sec.gov/Archives/edgar/data/1821175/000149315221000471/form8a12b.htm" TargetMode="External"/><Relationship Id="rId76" Type="http://schemas.openxmlformats.org/officeDocument/2006/relationships/hyperlink" Target="https://www.sec.gov/Archives/edgar/data/1821175/000149315221006719/form10-k.htm" TargetMode="External"/><Relationship Id="rId77" Type="http://schemas.openxmlformats.org/officeDocument/2006/relationships/hyperlink" Target="https://www.sec.gov/Archives/edgar/data/1821175/000149315221011826/form10-q.htm" TargetMode="External"/><Relationship Id="rId78" Type="http://schemas.openxmlformats.org/officeDocument/2006/relationships/hyperlink" Target="https://www.sec.gov/Archives/edgar/data/1821175/000149315221019355/form10-q.htm" TargetMode="External"/><Relationship Id="rId79" Type="http://schemas.openxmlformats.org/officeDocument/2006/relationships/hyperlink" Target="https://www.sec.gov/Archives/edgar/data/1821175/000149315221027253/form10-q.htm" TargetMode="External"/><Relationship Id="rId80" Type="http://schemas.openxmlformats.org/officeDocument/2006/relationships/hyperlink" Target="https://www.sec.gov/Archives/edgar/data/1821175/000149315221005283/form8-k.htm" TargetMode="External"/><Relationship Id="rId81" Type="http://schemas.openxmlformats.org/officeDocument/2006/relationships/hyperlink" Target="https://www.sec.gov/Archives/edgar/data/1821175/000149315221016888/form8-k.htm" TargetMode="External"/><Relationship Id="rId82" Type="http://schemas.openxmlformats.org/officeDocument/2006/relationships/hyperlink" Target="https://www.sec.gov/Archives/edgar/data/1821175/000149315221021222/form8-k.htm" TargetMode="External"/><Relationship Id="rId83" Type="http://schemas.openxmlformats.org/officeDocument/2006/relationships/hyperlink" Target="https://www.sec.gov/Archives/edgar/data/1821175/000149315221022101/form8-k.htm" TargetMode="External"/><Relationship Id="rId84" Type="http://schemas.openxmlformats.org/officeDocument/2006/relationships/hyperlink" Target="https://www.sec.gov/Archives/edgar/data/1821175/000149315222000832/form8-k.htm" TargetMode="External"/><Relationship Id="rId85" Type="http://schemas.openxmlformats.org/officeDocument/2006/relationships/hyperlink" Target="https://www.sec.gov/Archives/edgar/data/1821175/000149315222001944/form8-k.htm" TargetMode="External"/><Relationship Id="rId86" Type="http://schemas.openxmlformats.org/officeDocument/2006/relationships/hyperlink" Target="https://www.sec.gov/Archives/edgar/data/1821175/000149315221009662/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2023-02-06T07:09:24Z</dcterms:created>
  <dcterms:modified xsi:type="dcterms:W3CDTF">2023-02-06T07:09:24Z</dcterms:modified>
</cp:coreProperties>
</file>