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Motorsport Games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62011B102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Mike Zoi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Motorsport Network, LLC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5972 NE 4th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Florida 33137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(305) 507-8799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jc w:val="both"/>
        <w:ind w:right="2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13d-7 for other parties to whom copies are to be sent.</w:t>
      </w:r>
    </w:p>
    <w:p>
      <w:pPr>
        <w:spacing w:after="0" w:line="162"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ind w:left="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5194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194935"/>
                    </a:xfrm>
                    <a:prstGeom prst="rect">
                      <a:avLst/>
                    </a:prstGeom>
                    <a:noFill/>
                  </pic:spPr>
                </pic:pic>
              </a:graphicData>
            </a:graphic>
          </wp:anchor>
        </w:drawing>
        <w:t>CUSIP No. 62011B102</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346"/>
        </w:trPr>
        <w:tc>
          <w:tcPr>
            <w:tcW w:w="96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auto"/>
            </w:tcBorders>
          </w:tcPr>
          <w:p>
            <w:pPr>
              <w:spacing w:after="0"/>
              <w:rPr>
                <w:sz w:val="24"/>
                <w:szCs w:val="24"/>
                <w:color w:val="auto"/>
              </w:rPr>
            </w:pPr>
          </w:p>
        </w:tc>
        <w:tc>
          <w:tcPr>
            <w:tcW w:w="76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Motorsport Network, LLC</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9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2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480" w:type="dxa"/>
            <w:vAlign w:val="bottom"/>
          </w:tcPr>
          <w:p>
            <w:pPr>
              <w:jc w:val="right"/>
              <w:ind w:right="7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9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tc>
        <w:tc>
          <w:tcPr>
            <w:tcW w:w="6220" w:type="dxa"/>
            <w:vAlign w:val="bottom"/>
          </w:tcPr>
          <w:p>
            <w:pPr>
              <w:spacing w:after="0"/>
              <w:rPr>
                <w:sz w:val="24"/>
                <w:szCs w:val="24"/>
                <w:color w:val="auto"/>
              </w:rPr>
            </w:pPr>
          </w:p>
        </w:tc>
        <w:tc>
          <w:tcPr>
            <w:tcW w:w="2480" w:type="dxa"/>
            <w:vAlign w:val="bottom"/>
          </w:tcPr>
          <w:p>
            <w:pPr>
              <w:jc w:val="right"/>
              <w:ind w:right="7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6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2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Source of Funds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tc>
        <w:tc>
          <w:tcPr>
            <w:tcW w:w="2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OO</w:t>
            </w:r>
          </w:p>
        </w:tc>
        <w:tc>
          <w:tcPr>
            <w:tcW w:w="0" w:type="dxa"/>
            <w:vAlign w:val="bottom"/>
          </w:tcPr>
          <w:p>
            <w:pPr>
              <w:spacing w:after="0"/>
              <w:rPr>
                <w:sz w:val="1"/>
                <w:szCs w:val="1"/>
                <w:color w:val="auto"/>
              </w:rPr>
            </w:pPr>
          </w:p>
        </w:tc>
      </w:tr>
      <w:tr>
        <w:trPr>
          <w:trHeight w:val="128"/>
        </w:trPr>
        <w:tc>
          <w:tcPr>
            <w:tcW w:w="9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2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4"/>
                <w:szCs w:val="24"/>
                <w:color w:val="auto"/>
              </w:rPr>
            </w:pPr>
          </w:p>
        </w:tc>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480" w:type="dxa"/>
            <w:vAlign w:val="bottom"/>
          </w:tcPr>
          <w:p>
            <w:pPr>
              <w:jc w:val="right"/>
              <w:ind w:right="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4"/>
                <w:szCs w:val="24"/>
                <w:color w:val="auto"/>
              </w:rPr>
            </w:pPr>
          </w:p>
        </w:tc>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4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FL</w:t>
            </w:r>
          </w:p>
        </w:tc>
        <w:tc>
          <w:tcPr>
            <w:tcW w:w="0" w:type="dxa"/>
            <w:vAlign w:val="bottom"/>
          </w:tcPr>
          <w:p>
            <w:pPr>
              <w:spacing w:after="0"/>
              <w:rPr>
                <w:sz w:val="1"/>
                <w:szCs w:val="1"/>
                <w:color w:val="auto"/>
              </w:rPr>
            </w:pPr>
          </w:p>
        </w:tc>
      </w:tr>
      <w:tr>
        <w:trPr>
          <w:trHeight w:val="128"/>
        </w:trPr>
        <w:tc>
          <w:tcPr>
            <w:tcW w:w="9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2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16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7</w:t>
            </w: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24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3"/>
        </w:trPr>
        <w:tc>
          <w:tcPr>
            <w:tcW w:w="1620" w:type="dxa"/>
            <w:vAlign w:val="bottom"/>
            <w:tcBorders>
              <w:right w:val="single" w:sz="8" w:color="auto"/>
            </w:tcBorders>
            <w:gridSpan w:val="3"/>
            <w:vMerge w:val="continue"/>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62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6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920" w:type="dxa"/>
            <w:vAlign w:val="bottom"/>
            <w:tcBorders>
              <w:bottom w:val="single" w:sz="8" w:color="auto"/>
              <w:right w:val="single" w:sz="8" w:color="auto"/>
            </w:tcBorders>
          </w:tcPr>
          <w:p>
            <w:pPr>
              <w:spacing w:after="0"/>
              <w:rPr>
                <w:sz w:val="5"/>
                <w:szCs w:val="5"/>
                <w:color w:val="auto"/>
              </w:rPr>
            </w:pPr>
          </w:p>
        </w:tc>
        <w:tc>
          <w:tcPr>
            <w:tcW w:w="622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620" w:type="dxa"/>
            <w:vAlign w:val="bottom"/>
            <w:tcBorders>
              <w:right w:val="single" w:sz="8" w:color="auto"/>
            </w:tcBorders>
            <w:gridSpan w:val="3"/>
            <w:vMerge w:val="continue"/>
          </w:tcPr>
          <w:p>
            <w:pPr>
              <w:spacing w:after="0"/>
              <w:rPr>
                <w:sz w:val="11"/>
                <w:szCs w:val="11"/>
                <w:color w:val="auto"/>
              </w:rPr>
            </w:pPr>
          </w:p>
        </w:tc>
        <w:tc>
          <w:tcPr>
            <w:tcW w:w="9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2480" w:type="dxa"/>
            <w:vAlign w:val="bottom"/>
            <w:vMerge w:val="restart"/>
          </w:tcPr>
          <w:p>
            <w:pPr>
              <w:ind w:left="1360"/>
              <w:spacing w:after="0"/>
              <w:rPr>
                <w:sz w:val="20"/>
                <w:szCs w:val="20"/>
                <w:color w:val="auto"/>
              </w:rPr>
            </w:pPr>
            <w:r>
              <w:rPr>
                <w:rFonts w:ascii="Times New Roman" w:cs="Times New Roman" w:eastAsia="Times New Roman" w:hAnsi="Times New Roman"/>
                <w:sz w:val="18"/>
                <w:szCs w:val="18"/>
                <w:color w:val="auto"/>
              </w:rPr>
              <w:t>1,038,983</w:t>
            </w:r>
          </w:p>
        </w:tc>
        <w:tc>
          <w:tcPr>
            <w:tcW w:w="0" w:type="dxa"/>
            <w:vAlign w:val="bottom"/>
          </w:tcPr>
          <w:p>
            <w:pPr>
              <w:spacing w:after="0"/>
              <w:rPr>
                <w:sz w:val="1"/>
                <w:szCs w:val="1"/>
                <w:color w:val="auto"/>
              </w:rPr>
            </w:pPr>
          </w:p>
        </w:tc>
      </w:tr>
      <w:tr>
        <w:trPr>
          <w:trHeight w:val="216"/>
        </w:trPr>
        <w:tc>
          <w:tcPr>
            <w:tcW w:w="16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920" w:type="dxa"/>
            <w:vAlign w:val="bottom"/>
            <w:tcBorders>
              <w:right w:val="single" w:sz="8" w:color="auto"/>
            </w:tcBorders>
            <w:vMerge w:val="continue"/>
          </w:tcPr>
          <w:p>
            <w:pPr>
              <w:spacing w:after="0"/>
              <w:rPr>
                <w:sz w:val="18"/>
                <w:szCs w:val="18"/>
                <w:color w:val="auto"/>
              </w:rPr>
            </w:pPr>
          </w:p>
        </w:tc>
        <w:tc>
          <w:tcPr>
            <w:tcW w:w="6220" w:type="dxa"/>
            <w:vAlign w:val="bottom"/>
            <w:vMerge w:val="continue"/>
          </w:tcPr>
          <w:p>
            <w:pPr>
              <w:spacing w:after="0"/>
              <w:rPr>
                <w:sz w:val="18"/>
                <w:szCs w:val="18"/>
                <w:color w:val="auto"/>
              </w:rPr>
            </w:pPr>
          </w:p>
        </w:tc>
        <w:tc>
          <w:tcPr>
            <w:tcW w:w="2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6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920" w:type="dxa"/>
            <w:vAlign w:val="bottom"/>
            <w:tcBorders>
              <w:bottom w:val="single" w:sz="8" w:color="auto"/>
              <w:right w:val="single" w:sz="8" w:color="auto"/>
            </w:tcBorders>
          </w:tcPr>
          <w:p>
            <w:pPr>
              <w:spacing w:after="0"/>
              <w:rPr>
                <w:sz w:val="10"/>
                <w:szCs w:val="10"/>
                <w:color w:val="auto"/>
              </w:rPr>
            </w:pPr>
          </w:p>
        </w:tc>
        <w:tc>
          <w:tcPr>
            <w:tcW w:w="622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620" w:type="dxa"/>
            <w:vAlign w:val="bottom"/>
            <w:tcBorders>
              <w:right w:val="single" w:sz="8" w:color="auto"/>
            </w:tcBorders>
            <w:gridSpan w:val="3"/>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62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EACH</w:t>
            </w:r>
          </w:p>
        </w:tc>
        <w:tc>
          <w:tcPr>
            <w:tcW w:w="5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24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4"/>
        </w:trPr>
        <w:tc>
          <w:tcPr>
            <w:tcW w:w="1620" w:type="dxa"/>
            <w:vAlign w:val="bottom"/>
            <w:tcBorders>
              <w:right w:val="single" w:sz="8" w:color="auto"/>
            </w:tcBorders>
            <w:gridSpan w:val="3"/>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tcBorders>
              <w:bottom w:val="single" w:sz="8" w:color="auto"/>
              <w:right w:val="single" w:sz="8" w:color="auto"/>
            </w:tcBorders>
          </w:tcPr>
          <w:p>
            <w:pPr>
              <w:spacing w:after="0"/>
              <w:rPr>
                <w:sz w:val="15"/>
                <w:szCs w:val="15"/>
                <w:color w:val="auto"/>
              </w:rPr>
            </w:pPr>
          </w:p>
        </w:tc>
        <w:tc>
          <w:tcPr>
            <w:tcW w:w="62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9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480" w:type="dxa"/>
            <w:vAlign w:val="bottom"/>
            <w:vMerge w:val="restart"/>
          </w:tcPr>
          <w:p>
            <w:pPr>
              <w:ind w:left="1360"/>
              <w:spacing w:after="0"/>
              <w:rPr>
                <w:sz w:val="20"/>
                <w:szCs w:val="20"/>
                <w:color w:val="auto"/>
              </w:rPr>
            </w:pPr>
            <w:r>
              <w:rPr>
                <w:rFonts w:ascii="Times New Roman" w:cs="Times New Roman" w:eastAsia="Times New Roman" w:hAnsi="Times New Roman"/>
                <w:sz w:val="18"/>
                <w:szCs w:val="18"/>
                <w:color w:val="auto"/>
              </w:rPr>
              <w:t>1,038,983</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622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2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4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1,038,983</w:t>
            </w:r>
          </w:p>
        </w:tc>
        <w:tc>
          <w:tcPr>
            <w:tcW w:w="0" w:type="dxa"/>
            <w:vAlign w:val="bottom"/>
          </w:tcPr>
          <w:p>
            <w:pPr>
              <w:spacing w:after="0"/>
              <w:rPr>
                <w:sz w:val="1"/>
                <w:szCs w:val="1"/>
                <w:color w:val="auto"/>
              </w:rPr>
            </w:pPr>
          </w:p>
        </w:tc>
      </w:tr>
      <w:tr>
        <w:trPr>
          <w:trHeight w:val="128"/>
        </w:trPr>
        <w:tc>
          <w:tcPr>
            <w:tcW w:w="9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gridSpan w:val="3"/>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tc>
        <w:tc>
          <w:tcPr>
            <w:tcW w:w="2480" w:type="dxa"/>
            <w:vAlign w:val="bottom"/>
          </w:tcPr>
          <w:p>
            <w:pPr>
              <w:jc w:val="right"/>
              <w:ind w:right="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80" w:type="dxa"/>
            <w:vAlign w:val="bottom"/>
            <w:tcBorders>
              <w:bottom w:val="single" w:sz="8" w:color="auto"/>
            </w:tcBorders>
            <w:gridSpan w:val="3"/>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4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128"/>
        </w:trPr>
        <w:tc>
          <w:tcPr>
            <w:tcW w:w="9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gridSpan w:val="3"/>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Type of Reporting Person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tc>
        <w:tc>
          <w:tcPr>
            <w:tcW w:w="2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OO</w:t>
            </w:r>
          </w:p>
        </w:tc>
        <w:tc>
          <w:tcPr>
            <w:tcW w:w="0" w:type="dxa"/>
            <w:vAlign w:val="bottom"/>
          </w:tcPr>
          <w:p>
            <w:pPr>
              <w:spacing w:after="0"/>
              <w:rPr>
                <w:sz w:val="1"/>
                <w:szCs w:val="1"/>
                <w:color w:val="auto"/>
              </w:rPr>
            </w:pPr>
          </w:p>
        </w:tc>
      </w:tr>
      <w:tr>
        <w:trPr>
          <w:trHeight w:val="128"/>
        </w:trPr>
        <w:tc>
          <w:tcPr>
            <w:tcW w:w="9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2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39"/>
        </w:trPr>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53" w:right="339" w:bottom="1440" w:gutter="0" w:footer="0" w:header="0"/>
        </w:sectPr>
      </w:pPr>
    </w:p>
    <w:bookmarkStart w:id="2" w:name="page3"/>
    <w:bookmarkEnd w:id="2"/>
    <w:p>
      <w:pPr>
        <w:ind w:left="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5194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194935"/>
                    </a:xfrm>
                    <a:prstGeom prst="rect">
                      <a:avLst/>
                    </a:prstGeom>
                    <a:noFill/>
                  </pic:spPr>
                </pic:pic>
              </a:graphicData>
            </a:graphic>
          </wp:anchor>
        </w:drawing>
        <w:t>CUSIP No. 62011B102</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346"/>
        </w:trPr>
        <w:tc>
          <w:tcPr>
            <w:tcW w:w="96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auto"/>
            </w:tcBorders>
          </w:tcPr>
          <w:p>
            <w:pPr>
              <w:spacing w:after="0"/>
              <w:rPr>
                <w:sz w:val="24"/>
                <w:szCs w:val="24"/>
                <w:color w:val="auto"/>
              </w:rPr>
            </w:pPr>
          </w:p>
        </w:tc>
        <w:tc>
          <w:tcPr>
            <w:tcW w:w="76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Mike Zoi</w:t>
            </w:r>
          </w:p>
        </w:tc>
        <w:tc>
          <w:tcPr>
            <w:tcW w:w="62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9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2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480" w:type="dxa"/>
            <w:vAlign w:val="bottom"/>
          </w:tcPr>
          <w:p>
            <w:pPr>
              <w:jc w:val="right"/>
              <w:ind w:right="7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9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tc>
        <w:tc>
          <w:tcPr>
            <w:tcW w:w="6220" w:type="dxa"/>
            <w:vAlign w:val="bottom"/>
          </w:tcPr>
          <w:p>
            <w:pPr>
              <w:spacing w:after="0"/>
              <w:rPr>
                <w:sz w:val="24"/>
                <w:szCs w:val="24"/>
                <w:color w:val="auto"/>
              </w:rPr>
            </w:pPr>
          </w:p>
        </w:tc>
        <w:tc>
          <w:tcPr>
            <w:tcW w:w="2480" w:type="dxa"/>
            <w:vAlign w:val="bottom"/>
          </w:tcPr>
          <w:p>
            <w:pPr>
              <w:jc w:val="right"/>
              <w:ind w:right="7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6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2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Source of Funds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tc>
        <w:tc>
          <w:tcPr>
            <w:tcW w:w="2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OO</w:t>
            </w:r>
          </w:p>
        </w:tc>
        <w:tc>
          <w:tcPr>
            <w:tcW w:w="0" w:type="dxa"/>
            <w:vAlign w:val="bottom"/>
          </w:tcPr>
          <w:p>
            <w:pPr>
              <w:spacing w:after="0"/>
              <w:rPr>
                <w:sz w:val="1"/>
                <w:szCs w:val="1"/>
                <w:color w:val="auto"/>
              </w:rPr>
            </w:pPr>
          </w:p>
        </w:tc>
      </w:tr>
      <w:tr>
        <w:trPr>
          <w:trHeight w:val="128"/>
        </w:trPr>
        <w:tc>
          <w:tcPr>
            <w:tcW w:w="9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2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4"/>
                <w:szCs w:val="24"/>
                <w:color w:val="auto"/>
              </w:rPr>
            </w:pPr>
          </w:p>
        </w:tc>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480" w:type="dxa"/>
            <w:vAlign w:val="bottom"/>
          </w:tcPr>
          <w:p>
            <w:pPr>
              <w:jc w:val="right"/>
              <w:ind w:right="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4"/>
                <w:szCs w:val="24"/>
                <w:color w:val="auto"/>
              </w:rPr>
            </w:pPr>
          </w:p>
        </w:tc>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4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128"/>
        </w:trPr>
        <w:tc>
          <w:tcPr>
            <w:tcW w:w="9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2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16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7</w:t>
            </w: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24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3"/>
        </w:trPr>
        <w:tc>
          <w:tcPr>
            <w:tcW w:w="1620" w:type="dxa"/>
            <w:vAlign w:val="bottom"/>
            <w:tcBorders>
              <w:right w:val="single" w:sz="8" w:color="auto"/>
            </w:tcBorders>
            <w:gridSpan w:val="3"/>
            <w:vMerge w:val="continue"/>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62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6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920" w:type="dxa"/>
            <w:vAlign w:val="bottom"/>
            <w:tcBorders>
              <w:bottom w:val="single" w:sz="8" w:color="auto"/>
              <w:right w:val="single" w:sz="8" w:color="auto"/>
            </w:tcBorders>
          </w:tcPr>
          <w:p>
            <w:pPr>
              <w:spacing w:after="0"/>
              <w:rPr>
                <w:sz w:val="5"/>
                <w:szCs w:val="5"/>
                <w:color w:val="auto"/>
              </w:rPr>
            </w:pPr>
          </w:p>
        </w:tc>
        <w:tc>
          <w:tcPr>
            <w:tcW w:w="622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620" w:type="dxa"/>
            <w:vAlign w:val="bottom"/>
            <w:tcBorders>
              <w:right w:val="single" w:sz="8" w:color="auto"/>
            </w:tcBorders>
            <w:gridSpan w:val="3"/>
            <w:vMerge w:val="continue"/>
          </w:tcPr>
          <w:p>
            <w:pPr>
              <w:spacing w:after="0"/>
              <w:rPr>
                <w:sz w:val="11"/>
                <w:szCs w:val="11"/>
                <w:color w:val="auto"/>
              </w:rPr>
            </w:pPr>
          </w:p>
        </w:tc>
        <w:tc>
          <w:tcPr>
            <w:tcW w:w="9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2480" w:type="dxa"/>
            <w:vAlign w:val="bottom"/>
            <w:vMerge w:val="restart"/>
          </w:tcPr>
          <w:p>
            <w:pPr>
              <w:ind w:left="1360"/>
              <w:spacing w:after="0"/>
              <w:rPr>
                <w:sz w:val="20"/>
                <w:szCs w:val="20"/>
                <w:color w:val="auto"/>
              </w:rPr>
            </w:pPr>
            <w:r>
              <w:rPr>
                <w:rFonts w:ascii="Times New Roman" w:cs="Times New Roman" w:eastAsia="Times New Roman" w:hAnsi="Times New Roman"/>
                <w:sz w:val="18"/>
                <w:szCs w:val="18"/>
                <w:color w:val="auto"/>
              </w:rPr>
              <w:t>1,038,983</w:t>
            </w:r>
          </w:p>
        </w:tc>
        <w:tc>
          <w:tcPr>
            <w:tcW w:w="0" w:type="dxa"/>
            <w:vAlign w:val="bottom"/>
          </w:tcPr>
          <w:p>
            <w:pPr>
              <w:spacing w:after="0"/>
              <w:rPr>
                <w:sz w:val="1"/>
                <w:szCs w:val="1"/>
                <w:color w:val="auto"/>
              </w:rPr>
            </w:pPr>
          </w:p>
        </w:tc>
      </w:tr>
      <w:tr>
        <w:trPr>
          <w:trHeight w:val="216"/>
        </w:trPr>
        <w:tc>
          <w:tcPr>
            <w:tcW w:w="16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920" w:type="dxa"/>
            <w:vAlign w:val="bottom"/>
            <w:tcBorders>
              <w:right w:val="single" w:sz="8" w:color="auto"/>
            </w:tcBorders>
            <w:vMerge w:val="continue"/>
          </w:tcPr>
          <w:p>
            <w:pPr>
              <w:spacing w:after="0"/>
              <w:rPr>
                <w:sz w:val="18"/>
                <w:szCs w:val="18"/>
                <w:color w:val="auto"/>
              </w:rPr>
            </w:pPr>
          </w:p>
        </w:tc>
        <w:tc>
          <w:tcPr>
            <w:tcW w:w="6220" w:type="dxa"/>
            <w:vAlign w:val="bottom"/>
            <w:vMerge w:val="continue"/>
          </w:tcPr>
          <w:p>
            <w:pPr>
              <w:spacing w:after="0"/>
              <w:rPr>
                <w:sz w:val="18"/>
                <w:szCs w:val="18"/>
                <w:color w:val="auto"/>
              </w:rPr>
            </w:pPr>
          </w:p>
        </w:tc>
        <w:tc>
          <w:tcPr>
            <w:tcW w:w="2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6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920" w:type="dxa"/>
            <w:vAlign w:val="bottom"/>
            <w:tcBorders>
              <w:bottom w:val="single" w:sz="8" w:color="auto"/>
              <w:right w:val="single" w:sz="8" w:color="auto"/>
            </w:tcBorders>
          </w:tcPr>
          <w:p>
            <w:pPr>
              <w:spacing w:after="0"/>
              <w:rPr>
                <w:sz w:val="10"/>
                <w:szCs w:val="10"/>
                <w:color w:val="auto"/>
              </w:rPr>
            </w:pPr>
          </w:p>
        </w:tc>
        <w:tc>
          <w:tcPr>
            <w:tcW w:w="622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620" w:type="dxa"/>
            <w:vAlign w:val="bottom"/>
            <w:tcBorders>
              <w:right w:val="single" w:sz="8" w:color="auto"/>
            </w:tcBorders>
            <w:gridSpan w:val="3"/>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62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EACH</w:t>
            </w:r>
          </w:p>
        </w:tc>
        <w:tc>
          <w:tcPr>
            <w:tcW w:w="5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24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4"/>
        </w:trPr>
        <w:tc>
          <w:tcPr>
            <w:tcW w:w="1620" w:type="dxa"/>
            <w:vAlign w:val="bottom"/>
            <w:tcBorders>
              <w:right w:val="single" w:sz="8" w:color="auto"/>
            </w:tcBorders>
            <w:gridSpan w:val="3"/>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tcBorders>
              <w:bottom w:val="single" w:sz="8" w:color="auto"/>
              <w:right w:val="single" w:sz="8" w:color="auto"/>
            </w:tcBorders>
          </w:tcPr>
          <w:p>
            <w:pPr>
              <w:spacing w:after="0"/>
              <w:rPr>
                <w:sz w:val="15"/>
                <w:szCs w:val="15"/>
                <w:color w:val="auto"/>
              </w:rPr>
            </w:pPr>
          </w:p>
        </w:tc>
        <w:tc>
          <w:tcPr>
            <w:tcW w:w="62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9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480" w:type="dxa"/>
            <w:vAlign w:val="bottom"/>
            <w:vMerge w:val="restart"/>
          </w:tcPr>
          <w:p>
            <w:pPr>
              <w:ind w:left="1360"/>
              <w:spacing w:after="0"/>
              <w:rPr>
                <w:sz w:val="20"/>
                <w:szCs w:val="20"/>
                <w:color w:val="auto"/>
              </w:rPr>
            </w:pPr>
            <w:r>
              <w:rPr>
                <w:rFonts w:ascii="Times New Roman" w:cs="Times New Roman" w:eastAsia="Times New Roman" w:hAnsi="Times New Roman"/>
                <w:sz w:val="18"/>
                <w:szCs w:val="18"/>
                <w:color w:val="auto"/>
              </w:rPr>
              <w:t>1,038,983</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622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2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4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1,038,983</w:t>
            </w:r>
          </w:p>
        </w:tc>
        <w:tc>
          <w:tcPr>
            <w:tcW w:w="0" w:type="dxa"/>
            <w:vAlign w:val="bottom"/>
          </w:tcPr>
          <w:p>
            <w:pPr>
              <w:spacing w:after="0"/>
              <w:rPr>
                <w:sz w:val="1"/>
                <w:szCs w:val="1"/>
                <w:color w:val="auto"/>
              </w:rPr>
            </w:pPr>
          </w:p>
        </w:tc>
      </w:tr>
      <w:tr>
        <w:trPr>
          <w:trHeight w:val="128"/>
        </w:trPr>
        <w:tc>
          <w:tcPr>
            <w:tcW w:w="9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gridSpan w:val="3"/>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tc>
        <w:tc>
          <w:tcPr>
            <w:tcW w:w="2480" w:type="dxa"/>
            <w:vAlign w:val="bottom"/>
          </w:tcPr>
          <w:p>
            <w:pPr>
              <w:jc w:val="right"/>
              <w:ind w:right="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80" w:type="dxa"/>
            <w:vAlign w:val="bottom"/>
            <w:tcBorders>
              <w:bottom w:val="single" w:sz="8" w:color="auto"/>
            </w:tcBorders>
            <w:gridSpan w:val="3"/>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4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128"/>
        </w:trPr>
        <w:tc>
          <w:tcPr>
            <w:tcW w:w="9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gridSpan w:val="3"/>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Type of Reporting Person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tc>
        <w:tc>
          <w:tcPr>
            <w:tcW w:w="2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128"/>
        </w:trPr>
        <w:tc>
          <w:tcPr>
            <w:tcW w:w="9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2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39"/>
        </w:trPr>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5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Statement on Schedule 13D relates to the Class A common stock, par value $0.0001 per share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Motorsport Games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address of the Company’s principal executive offices is 5972 NE 4th Avenue, Miami, Florida 33137.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firstLine="656"/>
        <w:spacing w:after="0" w:line="282" w:lineRule="auto"/>
        <w:tabs>
          <w:tab w:leader="none" w:pos="90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filing this Schedule 13D are Motorsport Network, LLC, a Florida limited liability company (“</w:t>
      </w:r>
      <w:r>
        <w:rPr>
          <w:rFonts w:ascii="Times New Roman" w:cs="Times New Roman" w:eastAsia="Times New Roman" w:hAnsi="Times New Roman"/>
          <w:sz w:val="18"/>
          <w:szCs w:val="18"/>
          <w:u w:val="single" w:color="auto"/>
          <w:color w:val="auto"/>
        </w:rPr>
        <w:t>Motorsport Network</w:t>
      </w:r>
      <w:r>
        <w:rPr>
          <w:rFonts w:ascii="Times New Roman" w:cs="Times New Roman" w:eastAsia="Times New Roman" w:hAnsi="Times New Roman"/>
          <w:sz w:val="18"/>
          <w:szCs w:val="18"/>
          <w:color w:val="auto"/>
        </w:rPr>
        <w:t>”), and Mike Zoi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business office of each of the Reporting Persons is 5972 NE 4th Avenue, Miami, FL 33137.</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Motorsport Network is a global digital technology company that focuses on the motorsport and automotive industries. Mr. Mike Zoi is the Manager of Motorsport Network.</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2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Mike Zoi is a citizen of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4, which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7"/>
          <w:szCs w:val="17"/>
          <w:color w:val="auto"/>
        </w:rPr>
        <w:t>On January 30, 2023 (the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pursuant to a debt-for-equity exchange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January 30, 2023, the Company issued 338,983 shares (the “</w:t>
      </w:r>
      <w:r>
        <w:rPr>
          <w:rFonts w:ascii="Times New Roman" w:cs="Times New Roman" w:eastAsia="Times New Roman" w:hAnsi="Times New Roman"/>
          <w:sz w:val="17"/>
          <w:szCs w:val="17"/>
          <w:u w:val="single" w:color="auto"/>
          <w:color w:val="auto"/>
        </w:rPr>
        <w:t>Acquired Shares</w:t>
      </w:r>
      <w:r>
        <w:rPr>
          <w:rFonts w:ascii="Times New Roman" w:cs="Times New Roman" w:eastAsia="Times New Roman" w:hAnsi="Times New Roman"/>
          <w:sz w:val="17"/>
          <w:szCs w:val="17"/>
          <w:color w:val="auto"/>
        </w:rPr>
        <w:t>”) of its Class A Common Stock to Motorsport Network, which amount represents the aggregate number of shares of Class A Common Stock equal to $1,000,000 divided by the lower of: (i) the Nasdaq Official Closing Price of the Class A Common Stock immediately preceding the signing of the Agreement, or (ii) the average Nasdaq Official Closing Price of the Class A Common Stock for the five trading days immediately preceding the signing of this Agreement. The Acquired Shares were issued in consideration for the cancellation of the portion of the Company’s outstanding debt (including the principal and not yet paid interest thereon) equal to $1,000,000 under a promissory note dated April 1, 2020, as amended on November 23, 2020, held by Motorsport Network. Under the Agreement, subject to conditions set forth therein, the Company agreed to file a registration statement with the Securities and Exchange Commission upon demand from Motorsport Network at any time within 60 days after the Closing Date in order to register the resale of the Acquired Shares. The Agreement also granted certain piggyback registration rights to Motorsport Network.</w:t>
      </w:r>
    </w:p>
    <w:p>
      <w:pPr>
        <w:spacing w:after="0" w:line="17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discussed in this Schedule 13D, the Reporting Persons do not have any present plans or proposals with respect to the Company that would relate to or result in any of the actions described in subparagraphs (a) through (j) of Item 4 of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Reporting Persons reserve the right to formulate plans and/or make proposals, and take such actions with respect to their investment in the Company, including, subject to applicable law, (i) to hold their Class A Common Stock as a passive investor or as an active investor, (ii) to acquire beneficial ownership of additional Class A Common Stock in the open market, in privately negotiated transactions or otherwise, (iii) to dispose of all or part of their holdings of Class A Common Stock, (iv) to take other actions which could involve one or more of the types of transactions or have one or more of the results described in Item 4 of Schedule 13D, or (v) to change their intention with respect to any or all of the matters referred to in Item 4 of Schedule 13D.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Issuer</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beneficial ownership percentages are based on a total of 1,697,958 shares of Class A Common Stock outstanding as of January 30, 2023 following the consummation of the transactions under the Agreement.</w:t>
      </w:r>
    </w:p>
    <w:p>
      <w:pPr>
        <w:spacing w:after="0" w:line="162" w:lineRule="exact"/>
        <w:rPr>
          <w:sz w:val="20"/>
          <w:szCs w:val="20"/>
          <w:color w:val="auto"/>
        </w:rPr>
      </w:pPr>
    </w:p>
    <w:p>
      <w:pPr>
        <w:ind w:firstLine="656"/>
        <w:spacing w:after="0" w:line="282" w:lineRule="auto"/>
        <w:tabs>
          <w:tab w:leader="none" w:pos="9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beneficially own 1,038,983 shares of Class A Common Stock, representing approximately 61.2% of the outstanding shares of Class A Common Stock.</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have the shared power to vote or direct the vote or to dispose or to direct the disposition of 1,038,983 shares of Class A Common Stock.</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Schedule 13D, none of the Reporting Persons has effected any transaction in Common Stock in the past 60 days.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Reporting Persons, no one other than the Reporting Persons has the right to receive or the power to direct the receipt of dividends from, or the proceeds from the sale of, the Class A Common Stock reported herein as beneficially owned by the Reporting Persons.</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which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 – Joint Filing Agreement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2 – Debt-For-Equity Exchange Agreement, dated as of January 30, 2023, between Motorsport Games Inc. and Motorsport Network, LLC (incorporated by reference to Exhibit 10.1 of the Company’s Current Report on Form 8-K dated January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January 30, 2023</w:t>
      </w:r>
      <w:r>
        <w:rPr>
          <w:sz w:val="20"/>
          <w:szCs w:val="20"/>
          <w:color w:val="auto"/>
        </w:rPr>
        <w:tab/>
      </w:r>
      <w:r>
        <w:rPr>
          <w:rFonts w:ascii="Times New Roman" w:cs="Times New Roman" w:eastAsia="Times New Roman" w:hAnsi="Times New Roman"/>
          <w:sz w:val="18"/>
          <w:szCs w:val="18"/>
          <w:color w:val="auto"/>
        </w:rPr>
        <w:t>Motorsport Network, LLC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Mike Zoi</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Mike Zoi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Mike Zoi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27305</wp:posOffset>
            </wp:positionV>
            <wp:extent cx="35572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Mike Zoi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Exhibit</w:t>
        <w:tab/>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780" w:hanging="772"/>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Joint Filing Agreement</w:t>
      </w:r>
    </w:p>
    <w:p>
      <w:pPr>
        <w:spacing w:after="0" w:line="27" w:lineRule="exact"/>
        <w:rPr>
          <w:sz w:val="20"/>
          <w:szCs w:val="20"/>
          <w:color w:val="auto"/>
        </w:rPr>
      </w:pPr>
    </w:p>
    <w:p>
      <w:pPr>
        <w:ind w:left="780" w:hanging="772"/>
        <w:spacing w:after="0" w:line="260" w:lineRule="auto"/>
        <w:tabs>
          <w:tab w:leader="none" w:pos="780" w:val="left"/>
        </w:tabs>
        <w:numPr>
          <w:ilvl w:val="0"/>
          <w:numId w:val="4"/>
        </w:numPr>
        <w:rPr>
          <w:rFonts w:ascii="Times New Roman" w:cs="Times New Roman" w:eastAsia="Times New Roman" w:hAnsi="Times New Roman"/>
          <w:sz w:val="18"/>
          <w:szCs w:val="18"/>
          <w:u w:val="single" w:color="auto"/>
          <w:color w:val="0000EE"/>
        </w:rPr>
      </w:pPr>
      <w:hyperlink r:id="rId26">
        <w:r>
          <w:rPr>
            <w:rFonts w:ascii="Times New Roman" w:cs="Times New Roman" w:eastAsia="Times New Roman" w:hAnsi="Times New Roman"/>
            <w:sz w:val="18"/>
            <w:szCs w:val="18"/>
            <w:u w:val="single" w:color="auto"/>
            <w:color w:val="0000EE"/>
          </w:rPr>
          <w:t>Debt-For-Equity Exchange Agreement, dated as of January 30, 2023, between Motorsport Games Inc. and Motorsport Network, LLC</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(incorporated by reference to Exhibit 10.1 of the Company’s Current Report on Form 8-K dated January 30, 2023)</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each of the undersigned parties hereby agrees to file jointly the Schedule 13D (including any amendments thereto) (the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with respect to the acquisition or disposition of shares of Class A common stock, $0.0001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Motorsport Games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undersigned parties agrees that each is responsible for the timely filing of the Statement, and for the completeness and accuracy of the information concerning such party contained therein, but none of them is responsible for the completeness or accuracy of the information concerning the other parties making the filing unless such party knows or has reason to believe that such information is inaccurate. This Joint Filing Agreement may be executed in any number of counterparts, all of which taken together shall constitute one and the same instrument.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30,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Motorsport Network, LLC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Mike Zoi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Mike Zoi</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Mike Zoi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572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Mike Zoi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26" Type="http://schemas.openxmlformats.org/officeDocument/2006/relationships/hyperlink" Target="https://www.sec.gov/Archives/edgar/data/1821175/000149315223002908/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2023-01-31T07:03:05Z</dcterms:created>
  <dcterms:modified xsi:type="dcterms:W3CDTF">2023-01-31T07:03:05Z</dcterms:modified>
</cp:coreProperties>
</file>