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22,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Motorsport Games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001-39868</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86-1791356</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920" w:space="720"/>
            <w:col w:w="2460"/>
          </w:cols>
          <w:pgMar w:left="320" w:top="740" w:right="339" w:bottom="1440" w:gutter="0" w:footer="0" w:header="0"/>
          <w:type w:val="continuous"/>
        </w:sectPr>
      </w:pPr>
    </w:p>
    <w:p>
      <w:pPr>
        <w:spacing w:after="0" w:line="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3350 SW 148</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18"/>
          <w:szCs w:val="18"/>
          <w:b w:val="1"/>
          <w:bCs w:val="1"/>
          <w:color w:val="auto"/>
        </w:rPr>
        <w:t xml:space="preserve"> Avenue, Suite 207</w:t>
      </w:r>
    </w:p>
    <w:p>
      <w:pPr>
        <w:spacing w:after="0" w:line="6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Miramar, FL</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33027</w:t>
      </w:r>
    </w:p>
    <w:p>
      <w:pPr>
        <w:spacing w:after="0" w:line="3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440" w:space="720"/>
            <w:col w:w="208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413-0812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MSGM</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22, 2026, Motorsport Games Inc. (the “Company”) entered into a Share Repurchase Agreement (the “Agreement”) with Driven Lifestyle Group LLC, a Florida limited liability company (“Driven Lifestyle”), pursuant to which the Company purchased 904,395 shares of the Company’s Class A Common Stock, par value $0.0001 per share (the “Class A Common Stock”) held by Driven Lifestyle (the “Class A Shares”). The Agreement provides for the Shares to be purchased at a price of $4.11, which is equal to the average closing price of the Class A Common Stock as reported by the Nasdaq Capital Market for the five trading days immediately preceding the signing of the Agreement. Pursuant to Section 1 of Article V of the Company’s Certificate of Incorporation, as amended (the “Certificate of Incorporation”), upon the repurchase of the Class A Shares, all shares of the Company’s Class B Common Stock, par value $0.0001 per share (the “Class B Common Stock”) held by Driven Lifestyle shall be cancelled.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Agreement Driven Lifestyle executed an irrevocable written consent (the “Stockholder Consent”) in its capacity as the holder of at least two thirds of the voting power of the Class A Common Stock and Class B Common Stock, voting together as a single class, approving a Certificate of Amendment (the “Charter Amendment”) to the Certificate of Incorporation and Amendment No. 2 (the “Bylaws Amendment”) to the Company’s Bylaws, as amended (the “Bylaws”). The Charter Amendment provides as follows:</w:t>
      </w:r>
    </w:p>
    <w:p>
      <w:pPr>
        <w:spacing w:after="0" w:line="180" w:lineRule="exact"/>
        <w:rPr>
          <w:sz w:val="20"/>
          <w:szCs w:val="20"/>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A of Article IX of the Certificate of Incorporation shall be amended to provide that the Company reserves the right to amend, alter, change or repeal any provision contained in the Certificate of Incorporation in the manner now or hereafter prescribed in the Certificate of Incorporation, and by the laws of the State of Delaware, and all rights conferred upon stockholders in the Certificate of Incorporation, as so amended, are granted subject to this reservation, which consent shall be reasonably satisfactory to the Company.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B of Article IX of the Certificate of Incorporation shall be amended to provide that the Bylaws may be altered, amended or repealed, or new bylaws adopted, by the Board of Directors or a simple majority of all of the then outstanding shares of the capital stock of the Company entitled to vote generally in the election of directors, which consent shall be reasonably satisfactory to the Company;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C of Article VII of the Certificate of Incorporation shall be amended to provide that any action required or permitted to be taken by the stockholders of the Company must be effected at a duly called annual or special meeting of stockholders of the Company and may not be effected by any consent in writing by such stockholders, which consent shall be reasonably satisfactory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Bylaws Amendment provides as follows: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6.07 of the Bylaws shall be amended to provide that the Bylaws may be altered, amended or repealed, or new bylaws adopted, by the Board of Directors or a simple majority of all of the then outstanding shares of the Company’s capital stock entitled to vote generally in the election of directors, which consent shall be reasonably satisfactory to the Company;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2.07 of the Bylaws shall be amended to provide that any action required or permitted to be taken by the Company’s stockholders must be effected at a duly called annual or special meeting of stockholders of the Company and may not be effected by any consent in writing by such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The Agreement also provides that the Company shall file an Information Statement on Schedule 14C (the “Information Statement”) with the Securities and Exchange Commission (the “SEC”) relating to the approval of the Charter Amendment and the Bylaws Amendment. Pursuant to Rule 14c-2 under the Exchange Act, the approval of the Charter Amendment and the Bylaws Amendment may not take effect before a date which is 20 calendar days after a Definitive Information Statement is first provided to stockholders.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transactions contemplated in the Agreement were subject to customary closing conditions. The Company further agreed not to take or effect any of the corporate actions approved by the Stockholder Consent prior to the later of: (i) the next business day following the closing or (ii) after all requisite waiting periods for taking such corporate actions under SEC rules and regulations have passed.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Agreement, the Charter Amendment, and the Bylaws Amendment do not purport to be complete and are qualified in its entirety by reference to each such document, copies or forms of which are filed as Exhibit 10.1, 3.1, and 3.2, respectively, to this Current Report on Form 8-K and are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set forth above under Item 1.01 relating to the repurchase of the Class A Shares are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set forth above under Item 1.01 relating to the Charter Amendment and the Bylaws Amendment are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5.01 Changes in Control of Registrant.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disclosures set forth above under Item 1.01 relating to the repurchase of the Class A Shares and the cancellation of the shares of Class B Common Stock are incorporated by reference herein. Prior to the closing of the transactions contemplated in the Agreement, Driven Lifestyle controlled more than a majority of our issued and outstanding voting shares. After such closing, Driven Lifestyle holds 6.10% of the total voting power of our outstanding common stock by virtue of beneficially owning 254,453 shares, or 6.10%, of our Class A Common Stock and zero shares of our Class B Common Stock. After such closing, Sharp Arrow Global Tech Ventures L.P., which was previously our second-largest stockholder, holds 32.15% of the total voting power of our outstanding common stock by virtue of beneficially owning 1,463,637 shares (including 377,836 shares underlying a pre-funded warrant currently exercisable), or 32.15%, of our Class A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Company’s 2026 Annual Meeting of Stockholders (the “Annual Meeting “), the Company’s stockholders approved an Amendment (the “Plan Amendment”) to the Company’s Amended and Restated 2021 Equity Incentive Plan (the “Plan”) to increase the number of shares of Class A Common Stock that the Company will have authority to grant under the plan from 100,000 to 600,000. A description of the Plan is set forth in the Company’s definitive proxy statement for the 2026 Annual Meeting, as filed with the SEC on March 16, 2026 (the “Proxy Statement”), in the section entitled “Proposal No. 2—The Incentive Plan Increase Proposal,” which is incorporated herein by reference. The description is qualified in its entirety by reference to the full text of the Plan Amendment, a copy of which is included as Exhibit 10.2 to this Current Report on Form 8-K and incorporated herein by reference.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set forth above under Item 1.01 relating to the Charter Amendment and the Bylaws Amendment are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Action by Written Consent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22, 2025, Driven Lifestyle delivered to the Company the Stockholder Consent in its capacity as the holder of at least two thirds of the voting power of the Class A Common Stock and Class B Common Stock, voting together as a single class, approving the Charter Amendment and the Bylaws Amendment (the “Approved Matters”). Because the Stockholder Consent is sufficient to satisfy the stockholder vote requirement under the Delaware General Corporation Law (the “DGCL”) for the approval of the Approved Matters, no additional stockholder vote will be needed for their approval. Consequently, the Company will not be soliciting proxies or holding a meeting of stockholders to consider the Approved Matters.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228 of the DGCL, Section 2.07 of the Bylaws, and Section 14(c) of the Securities Exchange Act of 1934, as amended, and the regulations promulgated thereunder, including Regulation 14C, the Information Statement will be filed with the SEC and sent or given to the stockholders of the Company to provide prompt notice of the taking of a corporate action by written consent of stockholders to the Company’s stockholders who have not consented in writing to such action.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Annual Meeting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23, 2026, the Company held the Annual Meeting which had been adjourned from April 17, 2026 due to lack of quorum, at which the Company’s stockholders were asked to consider and vote on five proposals, each of which is listed below and described in more detail in the Proxy Statement. With respect to each proposal, holders of Class A Common Stock were entitled to cast one vote per share held as of the close of business on February 27, 2026 (the “Record Date”) and holders of Class B Common Stock were entitled to cast ten votes per share held as of the close of business on the Record Date. On the Record Date there were 5,078,450 shares of Class A Common Stock and 700,000 shares of Class B Common Stock issued and outstanding and entitled to vote at the 2026 Annual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final results of voting on each of the proposals presented at the Annual Meeting: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1: Election of Class I Directors.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elected each of John Delta and Guoquan (Paul) Huang.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20" w:type="dxa"/>
            <w:vAlign w:val="bottom"/>
          </w:tcPr>
          <w:p>
            <w:pPr>
              <w:spacing w:after="0"/>
              <w:rPr>
                <w:sz w:val="20"/>
                <w:szCs w:val="20"/>
                <w:color w:val="auto"/>
              </w:rPr>
            </w:pPr>
          </w:p>
        </w:tc>
        <w:tc>
          <w:tcPr>
            <w:tcW w:w="17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Delta</w:t>
            </w:r>
          </w:p>
        </w:tc>
        <w:tc>
          <w:tcPr>
            <w:tcW w:w="20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9,051,977</w:t>
            </w:r>
          </w:p>
        </w:tc>
        <w:tc>
          <w:tcPr>
            <w:tcW w:w="3060" w:type="dxa"/>
            <w:vAlign w:val="bottom"/>
            <w:gridSpan w:val="3"/>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35,668</w:t>
            </w:r>
          </w:p>
        </w:tc>
        <w:tc>
          <w:tcPr>
            <w:tcW w:w="290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865,619</w:t>
            </w: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Guoquan (Paul) Huang</w:t>
            </w:r>
          </w:p>
        </w:tc>
        <w:tc>
          <w:tcPr>
            <w:tcW w:w="20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9,072,843</w:t>
            </w:r>
          </w:p>
        </w:tc>
        <w:tc>
          <w:tcPr>
            <w:tcW w:w="3060" w:type="dxa"/>
            <w:vAlign w:val="bottom"/>
            <w:gridSpan w:val="3"/>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14,802</w:t>
            </w:r>
          </w:p>
        </w:tc>
        <w:tc>
          <w:tcPr>
            <w:tcW w:w="290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865,619</w:t>
            </w:r>
          </w:p>
        </w:tc>
      </w:tr>
      <w:tr>
        <w:trPr>
          <w:trHeight w:val="432"/>
        </w:trPr>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Proposal No. 2: Amendment to the Incentive Plan</w:t>
            </w: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32"/>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stockholders approved the Plan Amendment.</w:t>
            </w: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32"/>
        </w:trPr>
        <w:tc>
          <w:tcPr>
            <w:tcW w:w="30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20" w:type="dxa"/>
            <w:vAlign w:val="bottom"/>
          </w:tcPr>
          <w:p>
            <w:pPr>
              <w:spacing w:after="0"/>
              <w:rPr>
                <w:sz w:val="24"/>
                <w:szCs w:val="24"/>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20" w:type="dxa"/>
            <w:vAlign w:val="bottom"/>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30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9,022,451</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59,200</w:t>
            </w:r>
          </w:p>
        </w:tc>
        <w:tc>
          <w:tcPr>
            <w:tcW w:w="258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5,994</w:t>
            </w:r>
          </w:p>
        </w:tc>
        <w:tc>
          <w:tcPr>
            <w:tcW w:w="290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865,619</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3: Ratification of Appointment of Independent Registered Public Accounting Firm</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of Grassi &amp; Co. CPAs, P.C. as the Company’s independent registered public accounting firm for the year ending December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4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2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30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9,948,319</w:t>
            </w:r>
          </w:p>
        </w:tc>
        <w:tc>
          <w:tcPr>
            <w:tcW w:w="272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2,915</w:t>
            </w:r>
          </w:p>
        </w:tc>
        <w:tc>
          <w:tcPr>
            <w:tcW w:w="258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2,030</w:t>
            </w:r>
          </w:p>
        </w:tc>
        <w:tc>
          <w:tcPr>
            <w:tcW w:w="290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4: Issuance of Shares of Common Stock Upon Exercise of Warrants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exercise of the warrants issued by the Company on July 29, 2024 to purchase up to an aggregate of 949,310 shares of Class A Common Stock, under applicable rules and regulations of the Nasdaq Stock Market LLC.</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4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2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30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9,849,974</w:t>
            </w:r>
          </w:p>
        </w:tc>
        <w:tc>
          <w:tcPr>
            <w:tcW w:w="272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53,973</w:t>
            </w:r>
          </w:p>
        </w:tc>
        <w:tc>
          <w:tcPr>
            <w:tcW w:w="25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183,698</w:t>
            </w:r>
          </w:p>
        </w:tc>
        <w:tc>
          <w:tcPr>
            <w:tcW w:w="290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865,619</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5: Adjournment of the 2026 Annual Meeting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adjournment of the Annual Meeting to a later date, if necessary or appropriate, to permit further solicitation and vote of proxies in the event that there are insufficient votes for, or otherwise in connection with, the approval of Proposal No. 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2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304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9,027,835</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57,982</w:t>
            </w:r>
          </w:p>
        </w:tc>
        <w:tc>
          <w:tcPr>
            <w:tcW w:w="258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1,828</w:t>
            </w:r>
          </w:p>
        </w:tc>
        <w:tc>
          <w:tcPr>
            <w:tcW w:w="290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865,619</w:t>
            </w:r>
          </w:p>
        </w:tc>
      </w:tr>
      <w:tr>
        <w:trPr>
          <w:trHeight w:val="432"/>
        </w:trPr>
        <w:tc>
          <w:tcPr>
            <w:tcW w:w="3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32"/>
        </w:trPr>
        <w:tc>
          <w:tcPr>
            <w:tcW w:w="3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10"/>
        </w:trPr>
        <w:tc>
          <w:tcPr>
            <w:tcW w:w="3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8"/>
        </w:trPr>
        <w:tc>
          <w:tcPr>
            <w:tcW w:w="3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  Exhibit Description</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Form of Certificate of Amendment to the Certificate of Incorporation, as amended, of Motorsport Games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0000EE"/>
        </w:rPr>
        <w:t>Form of Amendment No. 2 to the Bylaws of Motorsport Games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Share Repurchase Agreement, dated April 22, 2026, by and between Motorsport Games Inc. and Driven Lifestyle Group LLC</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Amendment to the Amended and Restated Motorsport Games Inc.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580" w:right="4680" w:hanging="5572"/>
        <w:spacing w:after="0" w:line="511" w:lineRule="auto"/>
        <w:tabs>
          <w:tab w:leader="none" w:pos="7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Motorsport Games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Hood</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Hood</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CERTIFICATE OF INCORPORATION</w:t>
      </w:r>
    </w:p>
    <w:p>
      <w:pPr>
        <w:spacing w:after="0" w:line="20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Motorsport Games Inc.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Delaware, hereby certifies, effective as of 12:01 a.m. Eastern Time on ______________, 2026, as follows:</w:t>
      </w:r>
    </w:p>
    <w:p>
      <w:pPr>
        <w:spacing w:after="0" w:line="15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filed its Certificate of Incorporation with the Secretary of State of the State of Delaware on January 8, 2021 (the “</w:t>
      </w:r>
      <w:r>
        <w:rPr>
          <w:rFonts w:ascii="Times New Roman" w:cs="Times New Roman" w:eastAsia="Times New Roman" w:hAnsi="Times New Roman"/>
          <w:sz w:val="18"/>
          <w:szCs w:val="18"/>
          <w:i w:val="1"/>
          <w:iCs w:val="1"/>
          <w:color w:val="auto"/>
        </w:rPr>
        <w:t>Certificate</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amends the provisions of the Certificate.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A of Article IX of the Certificate is hereby amended and restated as follows:</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 The Corporation reserves the right to amend, alter, change or repeal any provision contained in this Certificate, in the manner now or hereafter prescribed by statute and this Certificate, and all rights conferred upon the stockholders herein are granted subject to this reservation.”</w:t>
      </w:r>
    </w:p>
    <w:p>
      <w:pPr>
        <w:spacing w:after="0" w:line="17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B of Article IX of the Certificate is hereby amended and restated as follows:</w:t>
      </w:r>
    </w:p>
    <w:p>
      <w:pPr>
        <w:spacing w:after="0" w:line="225"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“B. The Board is expressly empowered to alter, amend or repeal the Bylaws of the Corporation or adopt new Bylaws of the Corporation. Any alteration, amendment or repeal of the Bylaws of the Corporation by the Board or adoption of new bylaws by the Board shall require the approval of a majority of the authorized number of directors. The stockholders shall also have power to alter, amend or repeal the Bylaws of the Corporation or adopt new Bylaws of the Corporation; provided, however, that, in addition to any vote of the holders of any class or series of stock of the Corporation required by law or by this Certificate, such action by stockholders shall require the affirmative vote of the holders of greater than fifty percent (50%) of the voting power of all of the then-outstanding shares of the capital stock of the Corporation entitled to vote generally in the election or directors, voting together as a single class.”</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C. of Article VII of the Certificate is deleted in its entirety, and the following is substituted in lieu thereof:</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“C.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62" w:lineRule="exact"/>
        <w:rPr>
          <w:sz w:val="20"/>
          <w:szCs w:val="20"/>
          <w:color w:val="auto"/>
        </w:rPr>
      </w:pPr>
    </w:p>
    <w:p>
      <w:pPr>
        <w:ind w:left="660" w:right="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was duly adopted in accordance with the provisions of Section 228 and 242 of the General Corporation Law of the State of Delaware.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Certificate shall remain in full force and effect.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IN WITNESS WHEREOF, the Corporation has caused this Certificate of Amendment to be signed this __th day of ______, 2026.</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AMENDMENT NO. 2 TO THE BYLAWS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MOTORSPORT GAMES INC.</w:t>
      </w:r>
    </w:p>
    <w:p>
      <w:pPr>
        <w:spacing w:after="0" w:line="20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This Amendment No. 2 (this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to the Bylaws of Motorsport Games Inc., a Delaware corporation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as adopted pursuant to Section 6.07 of said by-laws, is effective as of the [●] day of ______, 2026.</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2.07 of the Bylaws is hereby deleted in its entirety, and the following is substituted in lieu thereof:</w:t>
      </w:r>
    </w:p>
    <w:p>
      <w:pPr>
        <w:spacing w:after="0" w:line="223" w:lineRule="exact"/>
        <w:rPr>
          <w:sz w:val="20"/>
          <w:szCs w:val="20"/>
          <w:color w:val="auto"/>
        </w:rPr>
      </w:pPr>
    </w:p>
    <w:p>
      <w:pPr>
        <w:jc w:val="both"/>
        <w:ind w:left="1300"/>
        <w:spacing w:after="0" w:line="267"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Action by Consent</w:t>
      </w:r>
      <w:r>
        <w:rPr>
          <w:rFonts w:ascii="Times New Roman" w:cs="Times New Roman" w:eastAsia="Times New Roman" w:hAnsi="Times New Roman"/>
          <w:sz w:val="18"/>
          <w:szCs w:val="18"/>
          <w:color w:val="auto"/>
        </w:rPr>
        <w:t>.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6.07 of the Bylaws is hereby deleted in its entirety, and the following is substituted in lieu thereof:</w:t>
      </w:r>
    </w:p>
    <w:p>
      <w:pPr>
        <w:spacing w:after="0" w:line="223"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The Board of Directors is expressly empowered to alter, amend or repeal these bylaws or adopt new bylaws. Any alteration, amendment or repeal of these bylaws by the Board of Directors or adoption of new bylaws by the Board of Directors shall require the approval of a majority of the authorized number of directors. The stockholders shall also have power to alter, amend or repeal these bylaws or adopt new bylaws; provided, however, that, in addition to any vote of the holders of any class or series of stock of the Corporation required by law or by the certificate of incorporation, such action by stockholders shall require the affirmative vote of the holders of greater than fifty percent (50%) of the voting power of all of the then-outstanding shares of the capital stock of the Corporation entitled to vote generally in the election or directors, voting together as a single class.”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REPURCHASE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Share Repurchase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April 22, 2026, between Driven Lifestyle Group LLC, a Florida limited liability company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Motorsport Games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Seller owns (i) 1,158,848 shares of the Company’s Class A Common Stock, par value $0.0001 per share (the “</w:t>
      </w:r>
      <w:r>
        <w:rPr>
          <w:rFonts w:ascii="Times New Roman" w:cs="Times New Roman" w:eastAsia="Times New Roman" w:hAnsi="Times New Roman"/>
          <w:sz w:val="18"/>
          <w:szCs w:val="18"/>
          <w:u w:val="single" w:color="auto"/>
          <w:color w:val="auto"/>
        </w:rPr>
        <w:t>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(ii) 700,000 shares (the “</w:t>
      </w:r>
      <w:r>
        <w:rPr>
          <w:rFonts w:ascii="Times New Roman" w:cs="Times New Roman" w:eastAsia="Times New Roman" w:hAnsi="Times New Roman"/>
          <w:sz w:val="18"/>
          <w:szCs w:val="18"/>
          <w:u w:val="single" w:color="auto"/>
          <w:color w:val="auto"/>
        </w:rPr>
        <w:t>Class B Shares</w:t>
      </w:r>
      <w:r>
        <w:rPr>
          <w:rFonts w:ascii="Times New Roman" w:cs="Times New Roman" w:eastAsia="Times New Roman" w:hAnsi="Times New Roman"/>
          <w:sz w:val="18"/>
          <w:szCs w:val="18"/>
          <w:color w:val="auto"/>
        </w:rPr>
        <w:t>”) of the Company’s Class B Common Stock, par value $0.0001 per share (the “</w:t>
      </w:r>
      <w:r>
        <w:rPr>
          <w:rFonts w:ascii="Times New Roman" w:cs="Times New Roman" w:eastAsia="Times New Roman" w:hAnsi="Times New Roman"/>
          <w:sz w:val="18"/>
          <w:szCs w:val="18"/>
          <w:u w:val="single" w:color="auto"/>
          <w:color w:val="auto"/>
        </w:rPr>
        <w:t>Class B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the Company desires to purchase from the Seller, and Seller desires to sell to the Company, 904,395 shares of the Class A Common Stock (the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and together with all of the Class B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upon the terms and conditions hereinafter set forth herein (the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Repurchase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Seller was issued all 700,000 Class B Shares at the time of the effectiveness of the Company’s initial registration statement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Company’s IPO when the Seller acquired 700,000 of the Class A Shares;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Article V, Section 8 of the Company’s Certificate of Incorporation, as amended, provides as follows:</w:t>
      </w:r>
    </w:p>
    <w:p>
      <w:pPr>
        <w:spacing w:after="0" w:line="229" w:lineRule="exact"/>
        <w:rPr>
          <w:sz w:val="20"/>
          <w:szCs w:val="20"/>
          <w:color w:val="auto"/>
        </w:rPr>
      </w:pPr>
    </w:p>
    <w:p>
      <w:pPr>
        <w:jc w:val="both"/>
        <w:ind w:left="340" w:right="320"/>
        <w:spacing w:after="0" w:line="253"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Relinquishment of Shares of Class B Common Stock</w:t>
      </w:r>
      <w:r>
        <w:rPr>
          <w:rFonts w:ascii="Times New Roman" w:cs="Times New Roman" w:eastAsia="Times New Roman" w:hAnsi="Times New Roman"/>
          <w:sz w:val="18"/>
          <w:szCs w:val="18"/>
          <w:color w:val="auto"/>
        </w:rPr>
        <w:t>. The sole holder of Class B Common Stock will initially have the right to acquire the same number of shares of Class B Common Stock as the number of shares of Class A Common Stock acquired by such holder at the time immediately prior to the effectiveness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of the registration statement of the Corporation filed in connection with the IPO (the “</w:t>
      </w:r>
      <w:r>
        <w:rPr>
          <w:rFonts w:ascii="Times New Roman" w:cs="Times New Roman" w:eastAsia="Times New Roman" w:hAnsi="Times New Roman"/>
          <w:sz w:val="18"/>
          <w:szCs w:val="18"/>
          <w:b w:val="1"/>
          <w:bCs w:val="1"/>
          <w:i w:val="1"/>
          <w:iCs w:val="1"/>
          <w:color w:val="auto"/>
        </w:rPr>
        <w:t>Initial Class A Shares</w:t>
      </w:r>
      <w:r>
        <w:rPr>
          <w:rFonts w:ascii="Times New Roman" w:cs="Times New Roman" w:eastAsia="Times New Roman" w:hAnsi="Times New Roman"/>
          <w:sz w:val="18"/>
          <w:szCs w:val="18"/>
          <w:color w:val="auto"/>
        </w:rPr>
        <w:t xml:space="preserve">”). The number of the authorized shares of Class B Common Stock shall equal the number of shares of Class B Common Stock issued to such holder at the Effective Time. </w:t>
      </w:r>
      <w:r>
        <w:rPr>
          <w:rFonts w:ascii="Times New Roman" w:cs="Times New Roman" w:eastAsia="Times New Roman" w:hAnsi="Times New Roman"/>
          <w:sz w:val="18"/>
          <w:szCs w:val="18"/>
          <w:b w:val="1"/>
          <w:bCs w:val="1"/>
          <w:i w:val="1"/>
          <w:iCs w:val="1"/>
          <w:u w:val="single" w:color="auto"/>
          <w:color w:val="auto"/>
        </w:rPr>
        <w:t>In the event such holder of Class B Common Stock relinquishes beneficial ownership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of such holder’s Initial Class A Shares at any time, one share of Class B Common Stock held by such holder will be cancelled for each such share of Initial Class A Shares no longer beneficially owned by such holder or its affiliates</w:t>
      </w:r>
      <w:r>
        <w:rPr>
          <w:rFonts w:ascii="Times New Roman" w:cs="Times New Roman" w:eastAsia="Times New Roman" w:hAnsi="Times New Roman"/>
          <w:sz w:val="18"/>
          <w:szCs w:val="18"/>
          <w:color w:val="auto"/>
        </w:rPr>
        <w:t>. Any pledge of any shares of any shares of the Initial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Shares by such holder or its affiliates will not constitute a relinquishment of such beneficial ownership of the Initial Class A Shares. Such holder of shares of Class B Common Stock shall not have transfer, conversion, registration or economic rights with respect to such shares of Class B Common Stock (emphasis added)”; and</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light of the fact that 700,000 of the Class A Shares being transferred pursuant to this Agreement constitute “Initial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within the meaning of Article V, Section 8 of the Company’s Certificate of Incorporation, upon the Seller’s transfer of such Class A Shares to the Company hereunder, all of the Class B Shares will be relinquished and cancelled.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IN CONSIDERATION </w:t>
      </w:r>
      <w:r>
        <w:rPr>
          <w:rFonts w:ascii="Times New Roman" w:cs="Times New Roman" w:eastAsia="Times New Roman" w:hAnsi="Times New Roman"/>
          <w:sz w:val="18"/>
          <w:szCs w:val="18"/>
          <w:color w:val="auto"/>
        </w:rPr>
        <w:t>of the premises, the mutual covenants contained in this Agreement, and for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adequacy of which are hereby acknowledged, the Company and the Seller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 action, suit, inquiry, notice of violation, proceeding or investigation before or by any court, arbitrator, governmental or administrative agency or regulatory authority.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Company’s board of directors.</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Miami, Florida are authorized or required by law to remain closed;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Miami, Florida are generally open for use by customers on such day.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Company’s Bylaws,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means the Company’s Certificate of Incorporation,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Shares pursuant to Section 2.1.</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Business Day on which all of the Transaction Documents have been executed and delivered by the applicable parties thereto, and all conditions precedent to (i) the Company’s obligation to pay the Purchase Price and (ii) the Seller’s obligation to deliver the Class A Shares, in each case, have been satisfied or waived; it being the intent of the parties to close as soon as possible following the mailing of the Information Statement to the Company’s stockholders.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Blank Rome LLP, with offices located at 1271 Avenue of the Americas, New York, NY 10020.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Statement</w:t>
      </w:r>
      <w:r>
        <w:rPr>
          <w:rFonts w:ascii="Times New Roman" w:cs="Times New Roman" w:eastAsia="Times New Roman" w:hAnsi="Times New Roman"/>
          <w:sz w:val="18"/>
          <w:szCs w:val="18"/>
          <w:color w:val="auto"/>
        </w:rPr>
        <w:t>” shall have the meaning set forth in Section 4.1 below.</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the aggregate amount to be paid for Class A Shares purchased 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and any other documents or agreements executed in connection with the transactions contemplated hereunder.</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ClearTrust, LLC located at 16540 Pointe Village Drive, Suite 210, Lutz, Florida 33558, and any successor transfer agent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Seller agrees to sell, and the Company agrees to purchase from the Seller, the 904,395 Class A Shares owned by it at a purchase price per share equal to $4.11 (based on the five day average closing price of the Class A Common Stock). On the Closing Date, the Company shall deliver to the Seller, via wire transfer, immediately available funds equal to the Purchase Price, without deduction or setoff of any kind or amount. The Seller shall deliver the Shares to the Company by delivering executed stock powers, given that the Shares are uncertificated, and the Company and the Seller shall deliver the other items set forth in Section 2.2 deliverable at the Closing. The parties acknowledge that upon payment of the Purchase Price, all Class B Shares shall be relinquished and cancelled. Upon satisfaction of the covenants and conditions set forth in Sections 2.2 and 2.3, the Closing shall occur at the offices of Company Counsel or such other location (including remotely by electronic transmission).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Seller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Seller;</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wire instructions;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6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Transfer Agent instructing the Transfer Agent to return and deliver the Shares to the Company, which evidence shall be reasonably satisfactory to the Company and executed stock powers transferring the Shares to the Company; and</w:t>
      </w:r>
    </w:p>
    <w:p>
      <w:pPr>
        <w:spacing w:after="0" w:line="17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and duly executed as of the Closing Date on behalf of the Seller by a duly authorized officer of the Seller that each of the conditions set forth in Section 2.2(a) and Section 2.2(b) have been satisfied.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ind w:left="-460" w:firstLine="644"/>
        <w:spacing w:after="0" w:line="282" w:lineRule="auto"/>
        <w:tabs>
          <w:tab w:leader="none" w:pos="4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as soon as practicable following the date hereof, the Seller shall deliver or cause to be delivered to the Company the following, each of which will take effect no earlier than the consummation of the transactions contemplated by this Agreement:</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06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irrevocable written consent in its capacity as the holder of at least two thirds of the voting power of the Class A Common Stock and Class B Common Stock, voting together as a single class, to amend Section A of Article IX of the Certificate of Incorporation to provide that the Company reserves the right to amend, alter, change or repeal any provision contained in the Certificate of Incorporation in the manner now or hereafter prescribed in the Certificate of Incorporation, and by the laws of the State of Delaware, and all rights conferred upon stockholders in the Certificate of Incorporation, as so amended, are granted subject to this reservation, which consent shall be reasonably satisfactory to the Company;</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11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irrevocable written consent in its capacity as the holder of at least two thirds of the voting power of the Class A Common Stock and Class B Common Stock, voting together as a single class, to amend Section B of Article IX of the Certificate of Incorporation to provide that the Bylaws may be altered, amended or repealed, or new bylaws adopted, by the Board of Directors or a simple majority of all of the then outstanding shares of the capital stock of the Company entitled to vote generally in the election of directors, which consent shall be reasonably satisfactory to the Company;</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15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irrevocable written consent in its capacity as the holder of at least two thirds of the voting power of the Class A Common Stock and Class B Common Stock, voting together as a single class, to amend Section C of Article VII of the Certificate of Incorporation to provide that any action required or permitted to be taken by the stockholders of the Company must be effected at a duly called annual or special meeting of stockholders of the Company and may not be effected by any consent in writing by such stockholders, which consent shall be reasonably satisfactory to the Company;</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14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irrevocable written consent, in its capacity as the holder of at least two thirds of the voting power of the Class A Common Stock and Class B Common Stock, voting together as a single class, to amend Section 6.07 of the Bylaws to provide that the Bylaws may be altered, amended or repealed, or new bylaws adopted, by the Board of Directors or a simple majority of all of the then outstanding shares of the Company’s capital stock entitled to vote generally in the election of directors, which consent shall be reasonably satisfactory to the Company;</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10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irrevocable written consent in its capacity as the holder of at least two thirds of the voting power of the Class A Common Stock and Class B Common Stock, voting together as a single class, to amend Section 2.07 of the Bylaws to provide that any action required or permitted to be taken by the Company’s stockholders must be effected at a duly called annual or special meeting of stockholders of the Company and may not be effected by any consent in writing by such stockholders; and</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3" w:name="page14"/>
    <w:bookmarkEnd w:id="13"/>
    <w:p>
      <w:pPr>
        <w:jc w:val="both"/>
        <w:ind w:left="640" w:firstLine="652"/>
        <w:spacing w:after="0" w:line="258" w:lineRule="auto"/>
        <w:tabs>
          <w:tab w:leader="none" w:pos="160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executed proxy card for the Company’s 2026 Annual Meeting of Stockholders as voted in favor of Proposal No. 4 to approve the exercise of the warrants issued by the Company on July 29, 2024 to purchase up to an aggregate of 949,310 shares of Class A Common Stock under applicable rules and regulations of the Nasdaq Stock Market LLC and in favor of Proposal 2 to approve the increase in the Amended and Restated Motorsport Games Inc. 2021 Equity Incentive Plan to increase the number of shares of the Company’s Class A common stock available for awards under the Incentive Plan by 500,000 shares.</w:t>
      </w:r>
    </w:p>
    <w:p>
      <w:pPr>
        <w:spacing w:after="0" w:line="183" w:lineRule="exact"/>
        <w:rPr>
          <w:rFonts w:ascii="Times New Roman" w:cs="Times New Roman" w:eastAsia="Times New Roman" w:hAnsi="Times New Roman"/>
          <w:sz w:val="18"/>
          <w:szCs w:val="18"/>
          <w:color w:val="auto"/>
        </w:rPr>
      </w:pPr>
    </w:p>
    <w:p>
      <w:pPr>
        <w:ind w:left="880" w:hanging="236"/>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the Seller the following:</w:t>
      </w:r>
    </w:p>
    <w:p>
      <w:pPr>
        <w:spacing w:after="0" w:line="225"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1560" w:hanging="268"/>
        <w:spacing w:after="0"/>
        <w:tabs>
          <w:tab w:leader="none" w:pos="15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by wire transfer to the account specified in writing by the Seller; and</w:t>
      </w:r>
    </w:p>
    <w:p>
      <w:pPr>
        <w:spacing w:after="0" w:line="225"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61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and duly executed as of the Closing Date on behalf of the Company by a duly authorized officer of the Company that each of the conditions set forth in Section 2.2(c) have been satisfied.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53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when made and on the Closing Date of the Seller’s representations and warranties contained herein;</w:t>
      </w:r>
    </w:p>
    <w:p>
      <w:pPr>
        <w:spacing w:after="0" w:line="161" w:lineRule="exact"/>
        <w:rPr>
          <w:rFonts w:ascii="Times New Roman" w:cs="Times New Roman" w:eastAsia="Times New Roman" w:hAnsi="Times New Roman"/>
          <w:sz w:val="18"/>
          <w:szCs w:val="18"/>
          <w:color w:val="auto"/>
        </w:rPr>
      </w:pPr>
    </w:p>
    <w:p>
      <w:pPr>
        <w:ind w:left="640" w:firstLine="652"/>
        <w:spacing w:after="0" w:line="282" w:lineRule="auto"/>
        <w:tabs>
          <w:tab w:leader="none" w:pos="156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Seller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Seller of the items set forth in Section 2.2(a) of this Agreement; and</w:t>
      </w:r>
    </w:p>
    <w:p>
      <w:pPr>
        <w:spacing w:after="0" w:line="225"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Seller of the items set forth in Section 2.2(b) of this Agreement prior to the Closing.</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Seller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51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when made and on the Closing Date of the Company’s representations and warranties contained herein;</w:t>
      </w:r>
    </w:p>
    <w:p>
      <w:pPr>
        <w:spacing w:after="0" w:line="377" w:lineRule="exact"/>
        <w:rPr>
          <w:rFonts w:ascii="Times New Roman" w:cs="Times New Roman" w:eastAsia="Times New Roman" w:hAnsi="Times New Roman"/>
          <w:sz w:val="18"/>
          <w:szCs w:val="18"/>
          <w:color w:val="auto"/>
        </w:rPr>
      </w:pPr>
    </w:p>
    <w:p>
      <w:pPr>
        <w:ind w:left="640" w:firstLine="652"/>
        <w:spacing w:after="0" w:line="282" w:lineRule="auto"/>
        <w:tabs>
          <w:tab w:leader="none" w:pos="155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2.2(c) of this Agreement.</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represents and warrants as of the date hereof and as of the Closing Date to the Seller as follows (unless as of a specific date therein, in which case they shall be accurate as of such date):</w:t>
      </w:r>
    </w:p>
    <w:p>
      <w:pPr>
        <w:spacing w:after="0" w:line="162" w:lineRule="exact"/>
        <w:rPr>
          <w:sz w:val="20"/>
          <w:szCs w:val="20"/>
          <w:color w:val="auto"/>
        </w:rPr>
      </w:pPr>
    </w:p>
    <w:p>
      <w:pPr>
        <w:ind w:left="1540" w:hanging="236"/>
        <w:spacing w:after="0"/>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Good Standing</w:t>
      </w:r>
      <w:r>
        <w:rPr>
          <w:rFonts w:ascii="Times New Roman" w:cs="Times New Roman" w:eastAsia="Times New Roman" w:hAnsi="Times New Roman"/>
          <w:sz w:val="18"/>
          <w:szCs w:val="18"/>
          <w:color w:val="auto"/>
        </w:rPr>
        <w:t>. The Company is duly organized, validly existing and in good standing under the laws of the State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a committee of the Board of Directors, or the Company’s stockholders in connection herewith or therewith.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72" w:lineRule="auto"/>
        <w:tabs>
          <w:tab w:leader="none" w:pos="1552"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by the Company of this Agreement and the other Transaction Documents to which it is a party, and the consummation by it of the transactions contemplated hereby and thereby, do not and will not (i) conflict with or violate any provision of the Company’s or any subsidiary’s certificate or articles of incorporation, bylaws, or other organizational or charter documents, or</w:t>
      </w:r>
    </w:p>
    <w:p>
      <w:pPr>
        <w:spacing w:after="0" w:line="1" w:lineRule="exact"/>
        <w:rPr>
          <w:rFonts w:ascii="Times New Roman" w:cs="Times New Roman" w:eastAsia="Times New Roman" w:hAnsi="Times New Roman"/>
          <w:sz w:val="17"/>
          <w:szCs w:val="17"/>
          <w:color w:val="auto"/>
        </w:rPr>
      </w:pPr>
    </w:p>
    <w:p>
      <w:pPr>
        <w:jc w:val="both"/>
        <w:ind w:left="660" w:hanging="4"/>
        <w:spacing w:after="0" w:line="251" w:lineRule="auto"/>
        <w:tabs>
          <w:tab w:leader="none" w:pos="92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conflict with or result in a violation of any law, rule, regulation, order, judgment, injunction, decree or other restriction of any court or governmental authority to which the Company or a subsidiary is subject (including federal and state corporate and securities laws and regulations, such as the Delaware General Corporation Law), or by which any property or asset of the Company or a subsidiary is bound or affected.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ind w:left="660" w:firstLine="644"/>
        <w:spacing w:after="0" w:line="261" w:lineRule="auto"/>
        <w:tabs>
          <w:tab w:leader="none" w:pos="159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that would reasonably be expected to prohibit or restrain the ability of the Company to enter into this Agreement or consummate the transactions contemplated hereby.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Seller</w:t>
      </w:r>
      <w:r>
        <w:rPr>
          <w:rFonts w:ascii="Times New Roman" w:cs="Times New Roman" w:eastAsia="Times New Roman" w:hAnsi="Times New Roman"/>
          <w:sz w:val="18"/>
          <w:szCs w:val="18"/>
          <w:color w:val="auto"/>
        </w:rPr>
        <w:t>. The Seller hereby represents and warrants as of the date hereof and as of the Closing Date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follows (unless as of a specific date therein, in which case they shall be accurate as of such date):</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Organization; Good Standing</w:t>
      </w:r>
      <w:r>
        <w:rPr>
          <w:rFonts w:ascii="Times New Roman" w:cs="Times New Roman" w:eastAsia="Times New Roman" w:hAnsi="Times New Roman"/>
          <w:sz w:val="18"/>
          <w:szCs w:val="18"/>
          <w:color w:val="auto"/>
        </w:rPr>
        <w:t>. The Seller is duly organized, validly existing and in good standing under the laws of the State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Florida.</w:t>
      </w:r>
    </w:p>
    <w:p>
      <w:pPr>
        <w:spacing w:after="0" w:line="207" w:lineRule="exact"/>
        <w:rPr>
          <w:sz w:val="20"/>
          <w:szCs w:val="20"/>
          <w:color w:val="auto"/>
        </w:rPr>
      </w:pPr>
    </w:p>
    <w:p>
      <w:pPr>
        <w:jc w:val="both"/>
        <w:ind w:left="660" w:firstLine="644"/>
        <w:spacing w:after="0" w:line="253" w:lineRule="auto"/>
        <w:tabs>
          <w:tab w:leader="none" w:pos="16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Seller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Seller and the consummation by it of the transactions contemplated hereby and thereby have been duly authorized by all necessary action on the part of the Seller and no further action is required by the Seller, Seller’s manager’s or Seller’s members in connection herewith or therewith. This Agreement and each other Transaction Document to which it is a party has been (or upon delivery will have been) duly executed by the Seller and, when delivered in accordance with the terms hereof and thereof, will constitute the valid and binding obligation of the Seller enforceable against the Seller in accordance with its terms, except (i) as limited by general equitable principles and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Seller of this Agreement and the other Transaction Documents to which it is a party, and the consummation by it of the transactions contemplated hereby and thereby do not and will not (i) conflict with or violate any provision of the Seller’s operating agreement, or other organizational or charter documents, or (ii) conflict with, or constitute a default (or an event that with notice or lapse of time or both would become a default) under, result in the creation of any Lien upon the Shares, or (iii) conflict with or result in a violation of any law, rule, regulation, order, judgment, injunction, decree or other restriction of any court or governmental authority to which the Seller is subject (including federal and state securities laws and regulations), or by which any property or asset of the Seller or a subsidiary is bound or affected.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left="660" w:firstLine="644"/>
        <w:spacing w:after="0" w:line="261" w:lineRule="auto"/>
        <w:tabs>
          <w:tab w:leader="none" w:pos="15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suit, inquiry, notice of violation, proceeding or investigation pending or, to the knowledge of the Seller, threatened against or affecting the Seller, or any of its properties before or by any court, arbitrator, governmental or administrative agency or regulatory authority (federal, state, county, local or foreign) that would reasonably be expected to prohibit or restrain the ability of the Seller to enter into this Agreement or consummate the transactions contemplated hereby.</w:t>
      </w:r>
    </w:p>
    <w:p>
      <w:pPr>
        <w:spacing w:after="0" w:line="17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Liens</w:t>
      </w:r>
      <w:r>
        <w:rPr>
          <w:rFonts w:ascii="Times New Roman" w:cs="Times New Roman" w:eastAsia="Times New Roman" w:hAnsi="Times New Roman"/>
          <w:sz w:val="18"/>
          <w:szCs w:val="18"/>
          <w:color w:val="auto"/>
        </w:rPr>
        <w:t>. Seller owns the Shares and will transfer to the Company good title to the Shares, free and clear of any Liens.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Information Statement</w:t>
      </w:r>
      <w:r>
        <w:rPr>
          <w:rFonts w:ascii="Times New Roman" w:cs="Times New Roman" w:eastAsia="Times New Roman" w:hAnsi="Times New Roman"/>
          <w:sz w:val="18"/>
          <w:szCs w:val="18"/>
          <w:color w:val="auto"/>
        </w:rPr>
        <w:t>. The Company shall file an Information Statement on Form 14-C (“</w:t>
      </w:r>
      <w:r>
        <w:rPr>
          <w:rFonts w:ascii="Times New Roman" w:cs="Times New Roman" w:eastAsia="Times New Roman" w:hAnsi="Times New Roman"/>
          <w:sz w:val="18"/>
          <w:szCs w:val="18"/>
          <w:u w:val="single" w:color="auto"/>
          <w:color w:val="auto"/>
        </w:rPr>
        <w:t>Information Statement</w:t>
      </w:r>
      <w:r>
        <w:rPr>
          <w:rFonts w:ascii="Times New Roman" w:cs="Times New Roman" w:eastAsia="Times New Roman" w:hAnsi="Times New Roman"/>
          <w:sz w:val="18"/>
          <w:szCs w:val="18"/>
          <w:color w:val="auto"/>
        </w:rPr>
        <w:t>”) with the SEC following receipt of the irrevocable written consents provided by Seller pursuant to Sections 2.2(b) (ii)-(v) above (the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Cancellation of Class B Shares</w:t>
      </w:r>
      <w:r>
        <w:rPr>
          <w:rFonts w:ascii="Times New Roman" w:cs="Times New Roman" w:eastAsia="Times New Roman" w:hAnsi="Times New Roman"/>
          <w:sz w:val="18"/>
          <w:szCs w:val="18"/>
          <w:color w:val="auto"/>
        </w:rPr>
        <w:t>. Upon consummation of the Share Repurchase, the Company shall instruct the Transfer Agent to cancel and retire the Class B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Corporate Actions</w:t>
      </w:r>
      <w:r>
        <w:rPr>
          <w:rFonts w:ascii="Times New Roman" w:cs="Times New Roman" w:eastAsia="Times New Roman" w:hAnsi="Times New Roman"/>
          <w:sz w:val="18"/>
          <w:szCs w:val="18"/>
          <w:color w:val="auto"/>
        </w:rPr>
        <w:t>. The Company covenants and agrees not to take or effect any of the corporate actions approved by the Consents prior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later of: (i) the next Business Day following the Closing Date or (ii) after all requisite waiting periods for taking such corporate actions under SEC rules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regulations have passed. The Seller covenants and agrees not to take any action to withdraw, modify or supersede the Consents, provided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transactions contemplated hereby occurs no later than the Second Business Day following the date the Company clears all comments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Statement with the SEC.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Business Day; (b) the next Business Day after the time of transmission, if such notice or communication is delivered via email attachment at the email address as set forth on the signature pages attached hereto on a day that is not a Business Day or later than 5:30 p.m. (New York City time) on any Business Day; (c) the second (2nd) Business Day following the date of mailing, if sent by U.S. nationally recognized overnight courier service; or (d) upon actual receipt by the party to whom such notice is required to be given;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any notice sent by means of clause (c) or (d) above must also be sent by email in accordance with any of clause (a) through (c) above. The address for such notices and communications shall be as set forth on the signature pages attached hereto.</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Seller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the Seller (other than by merger).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Delaware,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State of Delaware. Each party hereby irrevocably submits to the exclusive jurisdiction of the state and federal courts sitting in the State of Delaware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Shares for the applicable statute of limitations.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(including any electronic signature covered by the U.S. federal ESIGN Act of 2000, Uniform Electronic Transactions Act, the Electronic Signatures and Records Act or other applicable law, e.g., www.docusign.com) or other transmission method, such signature shall be deemed to have been duly and validly delivered and shall create a valid and binding obligation of the party executing (or on whose behalf such signature is executed) with the same force and effect as if such “.pdf” signature page were an original thereof.</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Seller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to this Agreement shall execute and cause to be delivered to each other party to this Agreement such instruments and other documents, and shall take such other actions, as such other parties may reasonably request (prior to, at or after the Closing) for the purpose of carrying out or evidencing any of the transactions contemplated by this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Termination of Rule 10b5-1 Plan and Waiver of Restricted Period</w:t>
      </w:r>
      <w:r>
        <w:rPr>
          <w:rFonts w:ascii="Times New Roman" w:cs="Times New Roman" w:eastAsia="Times New Roman" w:hAnsi="Times New Roman"/>
          <w:sz w:val="18"/>
          <w:szCs w:val="18"/>
          <w:color w:val="auto"/>
        </w:rPr>
        <w:t>. The Company hereby: (i) acknowledges the Seller’s termination of its existing Rule 10b5-1 Plan, to facilitate the consummation of the transactions contemplated hereby; (ii) waives any and all restrictions on trading under its Code of Ethics or other policies, having found that Seller is entering into this Agreement to sell the Shares not on the basis of any material non-public information and that the transactions contemplated hereby are consistent in all material respects with the Seller’s objectives in entering into its Rule 10b5-1 Plan; and (iii) pre-clears Seller’s sale of the Shares to the Company as contemplated hereby.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Share Repurchase Agreement to be duly executed by their respective authorized signatories as of the date first indicated above.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SELLER:</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DRIVEN LIFESTYLE GROUP LLC</w:t>
            </w:r>
          </w:p>
        </w:tc>
        <w:tc>
          <w:tcPr>
            <w:tcW w:w="220" w:type="dxa"/>
            <w:vAlign w:val="bottom"/>
          </w:tcPr>
          <w:p>
            <w:pPr>
              <w:spacing w:after="0"/>
              <w:rPr>
                <w:sz w:val="17"/>
                <w:szCs w:val="17"/>
                <w:color w:val="auto"/>
              </w:rPr>
            </w:pPr>
          </w:p>
        </w:tc>
        <w:tc>
          <w:tcPr>
            <w:tcW w:w="150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w w:val="99"/>
              </w:rPr>
              <w:t>Address for Notices: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58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00" w:type="dxa"/>
            <w:vAlign w:val="bottom"/>
            <w:gridSpan w:val="2"/>
          </w:tcPr>
          <w:p>
            <w:pPr>
              <w:spacing w:after="0" w:line="259" w:lineRule="exact"/>
              <w:rPr>
                <w:sz w:val="20"/>
                <w:szCs w:val="20"/>
                <w:color w:val="auto"/>
              </w:rPr>
            </w:pPr>
            <w:r>
              <w:rPr>
                <w:rFonts w:ascii="Times New Roman" w:cs="Times New Roman" w:eastAsia="Times New Roman" w:hAnsi="Times New Roman"/>
                <w:sz w:val="18"/>
                <w:szCs w:val="18"/>
                <w:color w:val="auto"/>
              </w:rPr>
              <w:t>5972 NE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Mike Zoi</w:t>
            </w:r>
          </w:p>
        </w:tc>
        <w:tc>
          <w:tcPr>
            <w:tcW w:w="22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Miami, FL 33137</w:t>
            </w:r>
          </w:p>
        </w:tc>
        <w:tc>
          <w:tcPr>
            <w:tcW w:w="0" w:type="dxa"/>
            <w:vAlign w:val="bottom"/>
          </w:tcPr>
          <w:p>
            <w:pPr>
              <w:spacing w:after="0"/>
              <w:rPr>
                <w:sz w:val="1"/>
                <w:szCs w:val="1"/>
                <w:color w:val="auto"/>
              </w:rPr>
            </w:pPr>
          </w:p>
        </w:tc>
      </w:tr>
      <w:tr>
        <w:trPr>
          <w:trHeight w:val="221"/>
        </w:trPr>
        <w:tc>
          <w:tcPr>
            <w:tcW w:w="580" w:type="dxa"/>
            <w:vAlign w:val="bottom"/>
            <w:vMerge w:val="continue"/>
          </w:tcPr>
          <w:p>
            <w:pPr>
              <w:spacing w:after="0"/>
              <w:rPr>
                <w:sz w:val="18"/>
                <w:szCs w:val="18"/>
                <w:color w:val="auto"/>
              </w:rPr>
            </w:pPr>
          </w:p>
        </w:tc>
        <w:tc>
          <w:tcPr>
            <w:tcW w:w="49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Mike Zoi</w:t>
            </w:r>
          </w:p>
        </w:tc>
        <w:tc>
          <w:tcPr>
            <w:tcW w:w="220" w:type="dxa"/>
            <w:vAlign w:val="bottom"/>
          </w:tcPr>
          <w:p>
            <w:pPr>
              <w:spacing w:after="0"/>
              <w:rPr>
                <w:sz w:val="16"/>
                <w:szCs w:val="16"/>
                <w:color w:val="auto"/>
              </w:rPr>
            </w:pPr>
          </w:p>
        </w:tc>
        <w:tc>
          <w:tcPr>
            <w:tcW w:w="25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E-Mail:</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MOTORSPORT GAMES INC.</w:t>
            </w:r>
          </w:p>
        </w:tc>
        <w:tc>
          <w:tcPr>
            <w:tcW w:w="220" w:type="dxa"/>
            <w:vAlign w:val="bottom"/>
          </w:tcPr>
          <w:p>
            <w:pPr>
              <w:spacing w:after="0"/>
              <w:rPr>
                <w:sz w:val="17"/>
                <w:szCs w:val="17"/>
                <w:color w:val="auto"/>
              </w:rPr>
            </w:pPr>
          </w:p>
        </w:tc>
        <w:tc>
          <w:tcPr>
            <w:tcW w:w="150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w w:val="99"/>
              </w:rPr>
              <w:t>Address for Notices: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3350 SW 148th Avenue, Suite 207</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Stephen Hood</w:t>
            </w:r>
          </w:p>
        </w:tc>
        <w:tc>
          <w:tcPr>
            <w:tcW w:w="22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Miramar, FL 33027</w:t>
            </w:r>
          </w:p>
        </w:tc>
        <w:tc>
          <w:tcPr>
            <w:tcW w:w="0" w:type="dxa"/>
            <w:vAlign w:val="bottom"/>
          </w:tcPr>
          <w:p>
            <w:pPr>
              <w:spacing w:after="0"/>
              <w:rPr>
                <w:sz w:val="1"/>
                <w:szCs w:val="1"/>
                <w:color w:val="auto"/>
              </w:rPr>
            </w:pPr>
          </w:p>
        </w:tc>
      </w:tr>
      <w:tr>
        <w:trPr>
          <w:trHeight w:val="221"/>
        </w:trPr>
        <w:tc>
          <w:tcPr>
            <w:tcW w:w="580" w:type="dxa"/>
            <w:vAlign w:val="bottom"/>
            <w:vMerge w:val="continue"/>
          </w:tcPr>
          <w:p>
            <w:pPr>
              <w:spacing w:after="0"/>
              <w:rPr>
                <w:sz w:val="18"/>
                <w:szCs w:val="18"/>
                <w:color w:val="auto"/>
              </w:rPr>
            </w:pPr>
          </w:p>
        </w:tc>
        <w:tc>
          <w:tcPr>
            <w:tcW w:w="49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Hood</w:t>
            </w:r>
          </w:p>
        </w:tc>
        <w:tc>
          <w:tcPr>
            <w:tcW w:w="220" w:type="dxa"/>
            <w:vAlign w:val="bottom"/>
          </w:tcPr>
          <w:p>
            <w:pPr>
              <w:spacing w:after="0"/>
              <w:rPr>
                <w:sz w:val="16"/>
                <w:szCs w:val="16"/>
                <w:color w:val="auto"/>
              </w:rPr>
            </w:pPr>
          </w:p>
        </w:tc>
        <w:tc>
          <w:tcPr>
            <w:tcW w:w="25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E-Mail:</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Leslie Marlow, Esq.</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Blank Rome LLP</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THE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MOTORSPORT GAMES INC. 2021 EQUITY INCENTIVE PLAN</w:t>
      </w:r>
    </w:p>
    <w:p>
      <w:pPr>
        <w:spacing w:after="0" w:line="20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WHEREAS, 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of Motorsport Games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heretofore established the Motorsport Games Inc. 2021 Equity Incentive Plan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and</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the Board desires to amend the Plan to increase the maximum number of shares of the Company’s Class A common stock, par value $0.0001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available for grants of Awards thereunder by an additional 500,000 shares of Common Stock to 600,000 shares of Common Stock;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pursuant to Section 13.1 of the Plan, the Board has the right to amend the Plan with respect to certain matters; and</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WHEREAS, the Board has approved and authorized this amendment to the Plan (this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and has recommended that the stockholders of the Company approve this Amendment; 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stockholders of the Company have approved this Amendment at a duly called meeting; now, therefore, be it</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RESOLVED, that the Plan is hereby amended, subject to and effective as of the date of stockholder approval hereof, such that Section 5.1 of the Plan is hereby amended by increasing the share references in such section by an additional 500,000 shares of Common Stock to 600,000 shares of Common Stock, so that the first sentence of Section 5.1 reads in its entirety as follows:</w:t>
      </w:r>
    </w:p>
    <w:p>
      <w:pPr>
        <w:spacing w:after="0" w:line="176"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Subject to adjustment as provided in Section 10, the aggregate number of shares of Stock reserved and available for grant pursuant to the Plan shall be 600,000 shares.</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Except as specifically set forth herein, the terms of the Plan shall be and remain unchanged, and the Plan as amended shall remain in full force and effect.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color w:val="auto"/>
        </w:rPr>
        <w:t>IN WITNESS WHEREOF, the Company has caused this Amendment to be signed this 23rd day of April, 2026.</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MOTORSPORT GAMES INC.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Stephen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Stephen Hood</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479"/>
      </w:cols>
      <w:pgMar w:left="980" w:top="6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04"/>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6"/>
    </w:lvl>
  </w:abstractNum>
  <w:abstractNum w:abstractNumId="8">
    <w:nsid w:val="109CF92E"/>
    <w:multiLevelType w:val="hybridMultilevel"/>
    <w:lvl w:ilvl="0">
      <w:lvlJc w:val="left"/>
      <w:lvlText w:val="(%1)"/>
      <w:numFmt w:val="lowerLetter"/>
      <w:start w:val="1"/>
    </w:lvl>
    <w:lvl w:ilvl="1">
      <w:lvlJc w:val="left"/>
      <w:lvlText w:val="(%2)"/>
      <w:numFmt w:val="lowerRoman"/>
      <w:start w:val="1"/>
    </w:lvl>
  </w:abstractNum>
  <w:abstractNum w:abstractNumId="9">
    <w:nsid w:val="DED7263"/>
    <w:multiLevelType w:val="hybridMultilevel"/>
    <w:lvl w:ilvl="0">
      <w:lvlJc w:val="left"/>
      <w:lvlText w:val="(%1)"/>
      <w:numFmt w:val="lowerLetter"/>
      <w:start w:val="2"/>
    </w:lvl>
    <w:lvl w:ilvl="1">
      <w:lvlJc w:val="left"/>
      <w:lvlText w:val="(%2)"/>
      <w:numFmt w:val="lowerRoman"/>
      <w:start w:val="1"/>
    </w:lvl>
  </w:abstractNum>
  <w:abstractNum w:abstractNumId="10">
    <w:nsid w:val="7FDCC233"/>
    <w:multiLevelType w:val="hybridMultilevel"/>
    <w:lvl w:ilvl="0">
      <w:lvlJc w:val="left"/>
      <w:lvlText w:val="%1"/>
      <w:numFmt w:val="lowerLetter"/>
      <w:start w:val="1"/>
    </w:lvl>
    <w:lvl w:ilvl="1">
      <w:lvlJc w:val="left"/>
      <w:lvlText w:val="(%2)"/>
      <w:numFmt w:val="lowerRoman"/>
      <w:start w:val="6"/>
    </w:lvl>
  </w:abstractNum>
  <w:abstractNum w:abstractNumId="11">
    <w:nsid w:val="1BEFD79F"/>
    <w:multiLevelType w:val="hybridMultilevel"/>
    <w:lvl w:ilvl="0">
      <w:lvlJc w:val="left"/>
      <w:lvlText w:val="(%1)"/>
      <w:numFmt w:val="lowerLetter"/>
      <w:start w:val="3"/>
    </w:lvl>
    <w:lvl w:ilvl="1">
      <w:lvlJc w:val="left"/>
      <w:lvlText w:val="(%2)"/>
      <w:numFmt w:val="lowerRoman"/>
      <w:start w:val="1"/>
    </w:lvl>
  </w:abstractNum>
  <w:abstractNum w:abstractNumId="12">
    <w:nsid w:val="41A7C4C9"/>
    <w:multiLevelType w:val="hybridMultilevel"/>
    <w:lvl w:ilvl="0">
      <w:lvlJc w:val="left"/>
      <w:lvlText w:val="(%1)"/>
      <w:numFmt w:val="lowerLetter"/>
      <w:start w:val="1"/>
    </w:lvl>
    <w:lvl w:ilvl="1">
      <w:lvlJc w:val="left"/>
      <w:lvlText w:val="(%2)"/>
      <w:numFmt w:val="lowerRoman"/>
      <w:start w:val="1"/>
    </w:lvl>
  </w:abstractNum>
  <w:abstractNum w:abstractNumId="13">
    <w:nsid w:val="6B68079A"/>
    <w:multiLevelType w:val="hybridMultilevel"/>
    <w:lvl w:ilvl="0">
      <w:lvlJc w:val="left"/>
      <w:lvlText w:val="%1"/>
      <w:numFmt w:val="lowerLetter"/>
      <w:start w:val="1"/>
    </w:lvl>
    <w:lvl w:ilvl="1">
      <w:lvlJc w:val="left"/>
      <w:lvlText w:val="(%2)"/>
      <w:numFmt w:val="lowerLetter"/>
      <w:start w:val="1"/>
    </w:lvl>
  </w:abstractNum>
  <w:abstractNum w:abstractNumId="14">
    <w:nsid w:val="4E6AFB66"/>
    <w:multiLevelType w:val="hybridMultilevel"/>
    <w:lvl w:ilvl="0">
      <w:lvlJc w:val="left"/>
      <w:lvlText w:val="(%1)"/>
      <w:numFmt w:val="lowerLetter"/>
      <w:start w:val="35"/>
    </w:lvl>
    <w:lvl w:ilvl="1">
      <w:lvlJc w:val="left"/>
      <w:lvlText w:val="%2"/>
      <w:numFmt w:val="lowerLetter"/>
      <w:start w:val="1"/>
    </w:lvl>
  </w:abstractNum>
  <w:abstractNum w:abstractNumId="15">
    <w:nsid w:val="25E45D32"/>
    <w:multiLevelType w:val="hybridMultilevel"/>
    <w:lvl w:ilvl="0">
      <w:lvlJc w:val="left"/>
      <w:lvlText w:val="(%1)"/>
      <w:numFmt w:val="lowerLetter"/>
      <w:start w:val="4"/>
    </w:lvl>
  </w:abstractNum>
  <w:abstractNum w:abstractNumId="16">
    <w:nsid w:val="519B500D"/>
    <w:multiLevelType w:val="hybridMultilevel"/>
    <w:lvl w:ilvl="0">
      <w:lvlJc w:val="left"/>
      <w:lvlText w:val="(%1)"/>
      <w:numFmt w:val="lowerLetter"/>
      <w:start w:val="2"/>
    </w:lvl>
  </w:abstractNum>
  <w:abstractNum w:abstractNumId="17">
    <w:nsid w:val="431BD7B7"/>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2026-04-23T17:09:41Z</dcterms:created>
  <dcterms:modified xsi:type="dcterms:W3CDTF">2026-04-23T17:09:41Z</dcterms:modified>
</cp:coreProperties>
</file>