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26,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0" w:right="339" w:bottom="0" w:gutter="0" w:footer="0" w:header="0"/>
          <w:type w:val="continuous"/>
        </w:sectPr>
      </w:pPr>
    </w:p>
    <w:p>
      <w:pPr>
        <w:spacing w:after="0" w:line="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MSGM</w:t>
            </w:r>
          </w:p>
        </w:tc>
        <w:tc>
          <w:tcPr>
            <w:tcW w:w="220" w:type="dxa"/>
            <w:vAlign w:val="bottom"/>
          </w:tcPr>
          <w:p>
            <w:pPr>
              <w:spacing w:after="0"/>
              <w:rPr>
                <w:sz w:val="16"/>
                <w:szCs w:val="16"/>
                <w:color w:val="auto"/>
              </w:rPr>
            </w:pPr>
          </w:p>
        </w:tc>
        <w:tc>
          <w:tcPr>
            <w:tcW w:w="4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26, 2025, the U.S. District Court for the District of Delaware (the “Court”) granted the summary judgment motion filed by Motorsport Games Inc. (the “Company”) and the other defendants, the Company’s former Chief Executive Officer and Executive Chairman, the Company’s former Chief Financial Officer, and the Manager of Driven Lifestyle Group LLC., in the case titled </w:t>
      </w:r>
      <w:r>
        <w:rPr>
          <w:rFonts w:ascii="Times New Roman" w:cs="Times New Roman" w:eastAsia="Times New Roman" w:hAnsi="Times New Roman"/>
          <w:sz w:val="18"/>
          <w:szCs w:val="18"/>
          <w:i w:val="1"/>
          <w:iCs w:val="1"/>
          <w:color w:val="auto"/>
        </w:rPr>
        <w:t>Innovate 2 Corp.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Motorsport Games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No. 1:21-cv-165-SB. The judgment entered by the Court held in favor of the Company and the other defendants on all counts and also granted the Company summary judgment against Innovate 2 Corp. on the Company’s claim for breach of the stock purchase agreement entered into between the parties. The Court ordered the parties to submit a joint status report on March 12, 2025 regarding the remaining issues in the case, including Motorsport’s damages on its counterclaim.</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Motorsport Games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tc>
      </w:tr>
      <w:tr>
        <w:trPr>
          <w:trHeight w:val="191"/>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Hood</w:t>
            </w:r>
          </w:p>
        </w:tc>
      </w:tr>
      <w:tr>
        <w:trPr>
          <w:trHeight w:val="234"/>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2025-02-28T16:47:12Z</dcterms:created>
  <dcterms:modified xsi:type="dcterms:W3CDTF">2025-02-28T16:47:12Z</dcterms:modified>
</cp:coreProperties>
</file>