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Huang Guoquan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3350 SW 148TH AVENUE,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MIRAMAR,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Motorsport Games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246,481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Class A Common Stock. Each RSU vests on the earlier of January 1, 2027, or the occurrence of a Change of Control (as defined in the Amended and Restated 2021 Equity Incentive Plan), subject to the director's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Guoquan Huang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6077" TargetMode="External"/><Relationship Id="rId5" Type="http://schemas.openxmlformats.org/officeDocument/2006/relationships/hyperlink" Target="http://www.sec.gov/cgi-bin/browse-edgar?action=getcompany&amp;CIK=00018211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3345</Characters>
  <CharactersWithSpaces>3900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