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 2023</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2023, Motorsport Games Inc. (the “Company”) entered into a securities purchase agreement (the “Purchase Agreement”) with the purchaser listed on the signature page thereto (the “Purchaser”), pursuant to which the Company agreed to issue and sell to the Purchaser 183,020 shares (the “Registered Shares”) of the Company’s Class A common stock, par value $0.0001 per share (the “Class A Common Stock”), in a registered direct offering priced at-the-market under Nasdaq rules (the “Offering”) for a purchase price of $21.40 per Registered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receive aggregate gross proceeds from the Offering of approximately $3.9 million, before deducting placement agent fees and other offering expenses. The Offering is expected to close on or about February 2, 2023, subject to the satisfaction of customary closing conditions. The Company intends to use the net proceeds from the Offering for development of multiple games, working capital and general corporate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H.C. Wainwright &amp; Co., LLC (“Wainwright”) acted as the exclusive placement agent for the Offering, pursuant to the engagement letter with the Company, dated as of January 9, 2023. Upon closing of the Offering, the Company will pay Wainwright a cash transaction fee equal to 7.0% of the aggregate gross proceeds to the Company from the Offering, non-accountable expenses of $50,000 and closing fees of $15,950. The Company also will issue to Wainwright (or its designees) warrants to purchase up to 10,981 shares of Class A Common Stock (the “Wainwright Warrants”), which is equal to 6.0% of the aggregate number of shares of Class A Common Stock placed in the Offering, at an exercise price of $26.75 per share (which represents 125% of the purchase price per Registered Share) and will expire five years after the commencement of sales under the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Registered Shares are being issued pursuant to an effective registration statement on Form S-3 that the Company filed with the Securities and Exchange Commission (“SEC”) on February 1, 2022 (File No. 333-262462) and became effective on February 10, 2022, and a base prospectus and prospectus supplement thereunder.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 and the Wainwright Warrants were made solely for the benefit of the parties thereto and may be subject to limitations agreed upon by the contracting parties. The foregoing descriptions of the Purchase Agreement and the Wainwright Warrants do not purport to be complete and are qualified in their entirety by reference to the full text of the Purchase Agreement and the Wainwright Warrants, copies of which are filed as Exhibits 4.1 and 10.1 hereto, respectively, and incorporated by reference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legal opinion of Snell &amp; Wilmer L.L.P. relating to the Registered Shares is attached as Exhibit 5.1 hereto.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Debt-for-Equity Exchange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entered into a debt-for-equity exchange agreement (the “Exchange Agreement”) with Motorsport Network, LLC (“Motorsport Network”) whereby the Company issued to Motorsport Network 441,402 shares of Class A Common Stock (the “Acquired Shares”), which amount represents the aggregate number of shares of Class A Common Stock equal to $2,948,565.99 (the “Discharged Debt”), representing the Company’s remaining debt outstanding (including the principal and not yet paid interest thereon) under that certain promissory note dated April 1, 2020, as amended on November 23, 2020 (as amended, the “Line of Credit”), held by Motorsport Network, divided by $6.68, which is the lower of: (i) the Nasdaq Official Closing Price of the Class A Common Stock immediately preceding the signing of the Exchange Agreement, or (ii) the average Nasdaq Official Closing Price of the Class A Common Stock for the five trading days immediately preceding the signing of the Exchange Agreement. The Acquired Shares were issued in consideration for the cancellation of the Discharged Debt under the Line of Credit.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Exchange Agreement, subject to conditions set forth therein, the Company agreed to file a registration statement with the Securities and Exchange Commission upon demand from Motorsport Network at any time within 60 days after date on which the transactions contemplated under the Exchange Agreement have been completed in order to register the resale of the Acquired Shares. The Exchange Agreement also granted certain piggyback registration rights to Motorsport Network.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closing of the transactions contemplated under the Exchange Agreement, Motorsport Network beneficially owned 1,038,983 shares of Class A Common Stock, representing approximately 61.19% of the issued and outstanding shares of Class A Common Stock as of January 31, 2023. After the closing of the transactions contemplated under the Exchange Agreement and the Offering described above, Motorsport Network will hold approximately 63.74% of the issued and outstanding shares of Class A Common Stock. Motorsport Network also beneficially owns 700,000 shares of Class B common stock, par value $0.0001 per share (the “Class B Common Stock”) of the Company, representing all of the issued and outstanding shares of Class B Common Stock. Based upon the related party nature of the Exchange Agreement with Motorsport Network, a special committee of Company’s Board of Directors (the “Board”) comprised of independent and disinterested directors unanimously approved the terms of the Exchange Agreement and the transactions contemplated by the Exchange Agreement and, based on the recommendation of the special committee, the Board unanimously approved the terms of the Exchange Agreement and the transactions contemplated by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Acquired Shares have not been registered under the Securities Act of 1933, as amended (the “Securities Act”), and cannot be offered or sold in the United States absent effective registration or an applicable exemption from registration requirements. The Company is relying on the private placement exemption from registration provided by Section 4(a)(2) of the Securities Act and/or by Rule 506 of Regulation D promulgated thereunder and on similar exemptions under applicable state laws.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Exchange Agreement does not purport to be complete and is qualified in its entirety by reference to the full text of the Exchange Agreement, which is filed as Exhibit 10.2 hereto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above regarding the issuance by the Company of the Acquired Shares to Motorsport Network as contemplated by the Exchange Agreement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2023, the Company issued a press release announcing the Offering, which is attached hereto as Exhibit 99.1.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on February 1, 2023, the Company issued a press release announcing the transactions contemplated under the Exchange Agreement, which is attached hereto as Exhibit 99.2.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Exhibits 99.1 and 99.2, is furnished and shall not be deemed “filed” for purposes of Section 18 of the Securities Exchange Act of 1934, as amended (the “Exchange Act”), or otherwise subject to liabilities under that section, and shall not be deemed to be incorporated by reference into any filing or other document under the Securities Act or the Exchange Act, regardless of any general incorporation language in such filings except as shall be expressly set forth by specific reference in such a filing or document. This report will not be deemed an admission as to the materiality of any information of the information contained in this Item 7.01, including Exhibits 99.1 and 99.2.</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7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1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Form of Wainwright Warrant</w:t>
            </w:r>
          </w:p>
        </w:tc>
        <w:tc>
          <w:tcPr>
            <w:tcW w:w="8040" w:type="dxa"/>
            <w:vAlign w:val="bottom"/>
            <w:tcBorders>
              <w:top w:val="single" w:sz="8" w:color="auto"/>
            </w:tcBorders>
            <w:gridSpan w:val="5"/>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2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Snell &amp; Wilmer L.L.P.</w:t>
            </w:r>
          </w:p>
        </w:tc>
        <w:tc>
          <w:tcPr>
            <w:tcW w:w="768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as of February 1, 2023, between Motorsport Games Inc. and the purchaser identified on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 page thereto</w:t>
            </w:r>
          </w:p>
        </w:tc>
        <w:tc>
          <w:tcPr>
            <w:tcW w:w="854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Debt-For-Equity Exchange Agreement, dated as of February 1, 2023, between Motorsport Games Inc. and Motorsport Network, LLC</w:t>
            </w:r>
          </w:p>
        </w:tc>
        <w:tc>
          <w:tcPr>
            <w:tcW w:w="52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Snell &amp; Wilmer L.L.P. (included in Exhibit 5.1)</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February 1, 2023</w:t>
            </w:r>
          </w:p>
        </w:tc>
        <w:tc>
          <w:tcPr>
            <w:tcW w:w="1560" w:type="dxa"/>
            <w:vAlign w:val="bottom"/>
            <w:tcBorders>
              <w:top w:val="single" w:sz="8" w:color="0000EE"/>
            </w:tcBorders>
          </w:tcPr>
          <w:p>
            <w:pPr>
              <w:spacing w:after="0"/>
              <w:rPr>
                <w:sz w:val="24"/>
                <w:szCs w:val="24"/>
                <w:color w:val="auto"/>
              </w:rPr>
            </w:pPr>
          </w:p>
        </w:tc>
        <w:tc>
          <w:tcPr>
            <w:tcW w:w="588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February 1, 2023</w:t>
            </w:r>
          </w:p>
        </w:tc>
        <w:tc>
          <w:tcPr>
            <w:tcW w:w="7440" w:type="dxa"/>
            <w:vAlign w:val="bottom"/>
            <w:gridSpan w:val="3"/>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684"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4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1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Form of Wainwright Warrant</w:t>
            </w:r>
          </w:p>
        </w:tc>
        <w:tc>
          <w:tcPr>
            <w:tcW w:w="8040" w:type="dxa"/>
            <w:vAlign w:val="bottom"/>
            <w:tcBorders>
              <w:top w:val="single" w:sz="8" w:color="auto"/>
            </w:tcBorders>
            <w:gridSpan w:val="5"/>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2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Snell &amp; Wilmer L.L.P.</w:t>
            </w:r>
          </w:p>
        </w:tc>
        <w:tc>
          <w:tcPr>
            <w:tcW w:w="764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as of February 1, 2023, between Motorsport Games Inc. and the purchaser identified on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 page thereto</w:t>
            </w:r>
          </w:p>
        </w:tc>
        <w:tc>
          <w:tcPr>
            <w:tcW w:w="854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Debt-For-Equity Exchange Agreement, dated as of February 1, 2023, between Motorsport Games Inc. and Motorsport Network, LLC</w:t>
            </w:r>
          </w:p>
        </w:tc>
        <w:tc>
          <w:tcPr>
            <w:tcW w:w="52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Snell &amp; Wilmer L.L.P. (included in Exhibit 5.1)</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February 1, 2023</w:t>
            </w:r>
          </w:p>
        </w:tc>
        <w:tc>
          <w:tcPr>
            <w:tcW w:w="1560" w:type="dxa"/>
            <w:vAlign w:val="bottom"/>
            <w:tcBorders>
              <w:top w:val="single" w:sz="8" w:color="0000EE"/>
            </w:tcBorders>
          </w:tcPr>
          <w:p>
            <w:pPr>
              <w:spacing w:after="0"/>
              <w:rPr>
                <w:sz w:val="24"/>
                <w:szCs w:val="24"/>
                <w:color w:val="auto"/>
              </w:rPr>
            </w:pPr>
          </w:p>
        </w:tc>
        <w:tc>
          <w:tcPr>
            <w:tcW w:w="588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February 1, 2023</w:t>
            </w:r>
          </w:p>
        </w:tc>
        <w:tc>
          <w:tcPr>
            <w:tcW w:w="7440" w:type="dxa"/>
            <w:vAlign w:val="bottom"/>
            <w:gridSpan w:val="3"/>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______, 2023</w:t>
      </w:r>
    </w:p>
    <w:p>
      <w:pPr>
        <w:spacing w:after="0" w:line="211" w:lineRule="exact"/>
        <w:rPr>
          <w:sz w:val="20"/>
          <w:szCs w:val="20"/>
          <w:color w:val="auto"/>
        </w:rPr>
      </w:pPr>
    </w:p>
    <w:p>
      <w:pPr>
        <w:sectPr>
          <w:pgSz w:w="11900" w:h="16838" w:orient="portrait"/>
          <w:cols w:equalWidth="0" w:num="3">
            <w:col w:w="1160" w:space="260"/>
            <w:col w:w="7260" w:space="720"/>
            <w:col w:w="1840"/>
          </w:cols>
          <w:pgMar w:left="320" w:top="333" w:right="339" w:bottom="1440" w:gutter="0" w:footer="0" w:header="0"/>
          <w:type w:val="continuous"/>
        </w:sectPr>
      </w:pPr>
    </w:p>
    <w:p>
      <w:pPr>
        <w:spacing w:after="0" w:line="2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Initial Exercise Date: _______, 2023</w:t>
      </w:r>
    </w:p>
    <w:p>
      <w:pPr>
        <w:sectPr>
          <w:pgSz w:w="11900" w:h="16838" w:orient="portrait"/>
          <w:cols w:equalWidth="0" w:num="1">
            <w:col w:w="11240"/>
          </w:cols>
          <w:pgMar w:left="320" w:top="333" w:right="339" w:bottom="1440" w:gutter="0" w:footer="0" w:header="0"/>
          <w:type w:val="continuous"/>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PLACEMENT AGENT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February 1, 2028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 This Warrant is issued pursuant to that certain engagement letter, dated as of January 9, 2023, by and between the Company and H.C. Wainwright &amp; Co., LLC.</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1, 2023,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herein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87" w:lineRule="exact"/>
        <w:rPr>
          <w:rFonts w:ascii="Times New Roman" w:cs="Times New Roman" w:eastAsia="Times New Roman" w:hAnsi="Times New Roman"/>
          <w:sz w:val="18"/>
          <w:szCs w:val="18"/>
          <w:color w:val="auto"/>
        </w:rPr>
      </w:pPr>
    </w:p>
    <w:p>
      <w:pPr>
        <w:ind w:firstLine="644"/>
        <w:spacing w:after="0" w:line="286" w:lineRule="auto"/>
        <w:tabs>
          <w:tab w:leader="none" w:pos="8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$26.75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160" w:hanging="516"/>
        <w:spacing w:after="0" w:line="253" w:lineRule="auto"/>
        <w:tabs>
          <w:tab w:leader="none" w:pos="10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160" w:hanging="516"/>
        <w:spacing w:after="0" w:line="282" w:lineRule="auto"/>
        <w:tabs>
          <w:tab w:leader="none" w:pos="10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251460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ind w:left="380" w:hanging="19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1" w:lineRule="auto"/>
        <w:tabs>
          <w:tab w:leader="none" w:pos="16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67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80" w:firstLine="1300"/>
        <w:spacing w:after="0" w:line="282" w:lineRule="auto"/>
        <w:tabs>
          <w:tab w:leader="none" w:pos="172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180" w:firstLine="1300"/>
        <w:spacing w:after="0" w:line="252" w:lineRule="auto"/>
        <w:tabs>
          <w:tab w:leader="none" w:pos="17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solely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two (2)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6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7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80" w:firstLine="1300"/>
        <w:spacing w:after="0" w:line="282" w:lineRule="auto"/>
        <w:tabs>
          <w:tab w:leader="none" w:pos="17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firstLine="644"/>
        <w:spacing w:after="0" w:line="251" w:lineRule="auto"/>
        <w:tabs>
          <w:tab w:leader="none" w:pos="8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276225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269240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0" w:lineRule="auto"/>
        <w:tabs>
          <w:tab w:leader="none" w:pos="8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“Black Scholes Value”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302895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707" w:gutter="0" w:footer="0" w:header="0"/>
        </w:sectPr>
      </w:pPr>
    </w:p>
    <w:bookmarkStart w:id="13" w:name="page14"/>
    <w:bookmarkEnd w:id="13"/>
    <w:p>
      <w:pPr>
        <w:jc w:val="both"/>
        <w:ind w:left="-460" w:firstLine="644"/>
        <w:spacing w:after="0" w:line="266" w:lineRule="auto"/>
        <w:tabs>
          <w:tab w:leader="none" w:pos="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9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w:t>
      </w:r>
    </w:p>
    <w:p>
      <w:pPr>
        <w:jc w:val="both"/>
        <w:ind w:left="1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3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for the Holder that appears in the Company’s Warrant Register.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MOTORSPORT GAMES INC.</w:t>
      </w:r>
    </w:p>
    <w:p>
      <w:pPr>
        <w:spacing w:after="0" w:line="229" w:lineRule="exact"/>
        <w:rPr>
          <w:sz w:val="20"/>
          <w:szCs w:val="20"/>
          <w:color w:val="auto"/>
        </w:rPr>
      </w:pPr>
    </w:p>
    <w:p>
      <w:pPr>
        <w:ind w:firstLine="1304"/>
        <w:spacing w:after="0" w:line="282" w:lineRule="auto"/>
        <w:tabs>
          <w:tab w:leader="none" w:pos="15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firstLine="1952"/>
        <w:spacing w:after="0" w:line="266" w:lineRule="auto"/>
        <w:tabs>
          <w:tab w:leader="none" w:pos="211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20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tbl>
      <w:tblPr>
        <w:tblLayout w:type="fixed"/>
        <w:tblInd w:w="0" w:type="dxa"/>
        <w:tblCellMar>
          <w:top w:w="0" w:type="dxa"/>
          <w:left w:w="0" w:type="dxa"/>
          <w:bottom w:w="0" w:type="dxa"/>
          <w:right w:w="0" w:type="dxa"/>
        </w:tblCellMar>
      </w:tblP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(Please Print)</w:t>
            </w:r>
          </w:p>
        </w:tc>
      </w:tr>
      <w:tr>
        <w:trPr>
          <w:trHeight w:val="391"/>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12"/>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440" w:type="dxa"/>
            <w:vAlign w:val="bottom"/>
          </w:tcPr>
          <w:p>
            <w:pPr>
              <w:spacing w:after="0"/>
              <w:rPr>
                <w:sz w:val="24"/>
                <w:szCs w:val="24"/>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0"/>
        </w:trPr>
        <w:tc>
          <w:tcPr>
            <w:tcW w:w="1120" w:type="dxa"/>
            <w:vAlign w:val="bottom"/>
            <w:shd w:val="clear" w:color="auto" w:fill="000000"/>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5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660" w:type="dxa"/>
            <w:vAlign w:val="bottom"/>
          </w:tcPr>
          <w:p>
            <w:pPr>
              <w:spacing w:after="0"/>
              <w:rPr>
                <w:sz w:val="24"/>
                <w:szCs w:val="24"/>
                <w:color w:val="auto"/>
              </w:rPr>
            </w:pP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Holder’s Signature: _______________________</w:t>
            </w:r>
          </w:p>
        </w:tc>
        <w:tc>
          <w:tcPr>
            <w:tcW w:w="6660" w:type="dxa"/>
            <w:vAlign w:val="bottom"/>
          </w:tcPr>
          <w:p>
            <w:pPr>
              <w:spacing w:after="0"/>
              <w:rPr>
                <w:sz w:val="24"/>
                <w:szCs w:val="24"/>
                <w:color w:val="auto"/>
              </w:rPr>
            </w:pP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Holder’s Address: ________________________</w:t>
            </w:r>
          </w:p>
        </w:tc>
        <w:tc>
          <w:tcPr>
            <w:tcW w:w="6660" w:type="dxa"/>
            <w:vAlign w:val="bottom"/>
          </w:tcPr>
          <w:p>
            <w:pPr>
              <w:spacing w:after="0"/>
              <w:rPr>
                <w:sz w:val="24"/>
                <w:szCs w:val="24"/>
                <w:color w:val="auto"/>
              </w:rPr>
            </w:pPr>
          </w:p>
        </w:tc>
      </w:tr>
      <w:tr>
        <w:trPr>
          <w:trHeight w:val="439"/>
        </w:trPr>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8"/>
          <w:szCs w:val="18"/>
          <w:color w:val="auto"/>
        </w:rPr>
        <w:t>Snell &amp; Wilmer</w:t>
      </w:r>
    </w:p>
    <w:p>
      <w:pPr>
        <w:spacing w:after="0" w:line="27"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8"/>
          <w:szCs w:val="18"/>
          <w:color w:val="auto"/>
        </w:rPr>
        <w:t>600 ANTON BLVD, SUITE 1400</w:t>
      </w:r>
    </w:p>
    <w:p>
      <w:pPr>
        <w:spacing w:after="0" w:line="9"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8"/>
          <w:szCs w:val="18"/>
          <w:color w:val="auto"/>
        </w:rPr>
        <w:t>COSTA MESA, CA 92626-7689</w:t>
      </w:r>
    </w:p>
    <w:p>
      <w:pPr>
        <w:spacing w:after="0" w:line="9"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8"/>
          <w:szCs w:val="18"/>
          <w:color w:val="auto"/>
        </w:rPr>
        <w:t>714.427.7000 P</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714.427.7799 F</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February 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5972 NE 4th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 33137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on the date hereof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which is part of the Company’s Registration Statement on Form S-3 (Registration No. 333-262462)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base prospectus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that were filed with the Commission on February 1, 2022 and became effective on February 10, 2022, relating to the issuance and sale by the Company to the investor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identified on the signature page to the Purchase Agreement (as defined below) of 183,020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that certain Securities Purchase Agreement, dated February 1, 2023, by and between the Company and the Investor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Dmitry Kozko, Chief Executive Officer of the Company, dated as of a recent date (the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ALBUQUERQUE  BOISE  DENVER  LAS VEGAS  LOS ANGELES  LOS CABOS</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ORANGE COUNTY</w:t>
            </w:r>
          </w:p>
        </w:tc>
      </w:tr>
      <w:tr>
        <w:trPr>
          <w:trHeight w:val="234"/>
        </w:trPr>
        <w:tc>
          <w:tcPr>
            <w:tcW w:w="83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PHOENIX  PORTLAND   RENO  SALT LAKE CITY  SAN DIEGO  SEATTLE  TUCSON</w:t>
            </w:r>
          </w:p>
        </w:tc>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WASHINGTON, D.C.</w:t>
            </w:r>
          </w:p>
        </w:tc>
      </w:tr>
      <w:tr>
        <w:trPr>
          <w:trHeight w:val="439"/>
        </w:trPr>
        <w:tc>
          <w:tcPr>
            <w:tcW w:w="8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Snell &amp; Wilmer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 as amended by the Certificate of Amendment to the Certificate of Incorporation, as currently in effect and as certified pursuant to the Officer’s Certificate;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Bylaws, as amended by Amendment No. 1 to the Bylaws, as currently in effect and as certified pursuant to the Officer’s Certificate;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of the Company, relating to the adoption, approval, authorization and/or ratification of the transactions contemplated by the Purchase Agreement and the execution and delivery of the Purchase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also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at the time any Shares are sold pursuant to the Registration Statement, the Registration Statement and any supplements and amendments thereto (including post-effective amendments) will be effective under the Securities Act and will comply with all applicable laws; (v) that the Shares will be issued and sold in compliance with applicable U.S. federal and state securities laws and in the manner stated in the Registration Statement, the Base Prospectus, and the Prospectus Supplement; and (vi)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such examination, and subject to the limitations, qualifications, exceptions and assumptions expressed herein, we are of the opinion that the issuance of the Shares has been duly authorized and, upon issuance of the Shares pursuant to the terms of the Purchase Agreement and the receipt by the Company of the consideration for the Shares pursuant to the terms of the Purchase Agreement, the Shares will be validly issued, fully paid, and nonassessable.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express no opinion as to the laws of any jurisdiction other than the General Corporation Law of the State of Delaware.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Company’s Current Report on Form 8-K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dated February 2, 2022, relating to the Shares. We also consent to the reference to our firm under the heading “Legal Matters” in the Prospectus Supplement. In giving such consent, we do not believe that we are “experts” within the meaning of such term as used in the Securities Act or the rules and regulations of the Commission issued thereunder with respect to any part of the Current Report, including this opinion letter as an exhibit. In giving such consent, we do not thereby concede that we are included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letter is given as of the date hereof, and we express no opinion as to the effect of subsequent events or changes in law occurring or becoming effective after the date hereof. We assume no obligation to update this opinion letter or otherwise advise you with respect to any facts or circumstances or changes in law that may hereafter occur or come to our attention (even though the change may affect the legal conclusions stated in this opinion letter).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60" w:firstLine="311"/>
        <w:spacing w:after="0" w:line="282" w:lineRule="auto"/>
        <w:rPr>
          <w:sz w:val="20"/>
          <w:szCs w:val="20"/>
          <w:color w:val="auto"/>
        </w:rPr>
      </w:pPr>
      <w:r>
        <w:rPr>
          <w:rFonts w:ascii="Times New Roman" w:cs="Times New Roman" w:eastAsia="Times New Roman" w:hAnsi="Times New Roman"/>
          <w:sz w:val="18"/>
          <w:szCs w:val="18"/>
          <w:color w:val="auto"/>
        </w:rPr>
        <w:t>ALBUQUERQUE BOISE DENVER LAS VEGAS PHOENIX PORTLAND RENO SALT LAKE CITY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Snell &amp; Wilmer L.L.P.</w:t>
      </w:r>
    </w:p>
    <w:p>
      <w:pPr>
        <w:spacing w:after="0" w:line="225" w:lineRule="exact"/>
        <w:rPr>
          <w:sz w:val="20"/>
          <w:szCs w:val="20"/>
          <w:color w:val="auto"/>
        </w:rPr>
      </w:pPr>
    </w:p>
    <w:p>
      <w:pPr>
        <w:ind w:right="1060" w:firstLine="160"/>
        <w:spacing w:after="0" w:line="282" w:lineRule="auto"/>
        <w:rPr>
          <w:sz w:val="20"/>
          <w:szCs w:val="20"/>
          <w:color w:val="auto"/>
        </w:rPr>
      </w:pPr>
      <w:r>
        <w:rPr>
          <w:rFonts w:ascii="Times New Roman" w:cs="Times New Roman" w:eastAsia="Times New Roman" w:hAnsi="Times New Roman"/>
          <w:sz w:val="18"/>
          <w:szCs w:val="18"/>
          <w:color w:val="auto"/>
        </w:rPr>
        <w:t>LOS ANGELES LOS CABOS ORANGE COUNTY SAN DIEGO SEATTLE TUCSON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251460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00" w:space="60"/>
            <w:col w:w="5680"/>
          </w:cols>
          <w:pgMar w:left="320" w:top="688" w:right="339" w:bottom="1440" w:gutter="0" w:footer="0" w:header="0"/>
          <w:type w:val="continuous"/>
        </w:sectPr>
      </w:pPr>
    </w:p>
    <w:bookmarkStart w:id="22" w:name="page23"/>
    <w:bookmarkEnd w:id="2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1, 2023, between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to deliver the Securities,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Snell &amp; Wilmer L.L.P., with offices located at Plaza Tower, 600 Anton Boulevard, 14th Floor, Costa Mesa, California 92626-7689.</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$21.40, subject to adjustment for reverse and forward stock splits, stock dividends, stock combinations and other similar transactions of the Common Stock that occur after the date of this Agreement and prior to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filed with the Commission (File No. 333-262462), including all information, documents and exhibits filed with or incorporated by reference into such registration statement, which registers the sale of the Shares to the Purchasers.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Lock-Up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Worldwide Stock Transfer, LLC, the current transfer agent of the Company, with a mailing address of 1 University Plaza Dr #505, Hackensack, NJ 07601, and any successor transfer agent of the Company.</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$3,916,628 of Shares. 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(including remotely by electronic transmission) as the Company and the Placement Agent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Purchasers via Placement Agent, this Agreement duly executed by the Company (to be delivered on the date hereof);</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Placement Agent and the Purchasers via Placement Agent, a legal opinion of Company Counsel, directed to the Placement Agent and the Purchasers, in form and substance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7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Purchasers via Placement Agent, subject to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Purchasers via Placement Agent, subject to Section 2.1, a copy of the irrevocable instructions to the Transfer Agent instructing the Transfer Agent to deliver to the Purchasers via Placement Agent,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left="1300" w:firstLine="652"/>
        <w:spacing w:after="0" w:line="261" w:lineRule="auto"/>
        <w:tabs>
          <w:tab w:leader="none" w:pos="222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Placement Agent, a lock-up agreement executed by Motorsport Network, LLC, a Florida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with respect to the securities issued to Parent in one or a series of transactions pursuant to which Parent exchanges the indebtedness of the Company to Parent into securities of the Company (each, a “</w:t>
      </w:r>
      <w:r>
        <w:rPr>
          <w:rFonts w:ascii="Times New Roman" w:cs="Times New Roman" w:eastAsia="Times New Roman" w:hAnsi="Times New Roman"/>
          <w:sz w:val="18"/>
          <w:szCs w:val="18"/>
          <w:u w:val="single" w:color="auto"/>
          <w:color w:val="auto"/>
        </w:rPr>
        <w:t>Debt to Equity Exchange</w:t>
      </w:r>
      <w:r>
        <w:rPr>
          <w:rFonts w:ascii="Times New Roman" w:cs="Times New Roman" w:eastAsia="Times New Roman" w:hAnsi="Times New Roman"/>
          <w:sz w:val="18"/>
          <w:szCs w:val="18"/>
          <w:color w:val="auto"/>
        </w:rPr>
        <w:t>”) for a period from the date hereof until thirty (30) days after the Closing Date; and</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via Placement Agent, this Agreement duly executed by such Purchaser (to be delivered on the date hereof);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DVP settlement with the Company or its designee.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right="20" w:firstLine="652"/>
        <w:spacing w:after="0" w:line="261" w:lineRule="auto"/>
        <w:tabs>
          <w:tab w:leader="none" w:pos="2163"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1300" w:firstLine="652"/>
        <w:spacing w:after="0" w:line="282" w:lineRule="auto"/>
        <w:tabs>
          <w:tab w:leader="none" w:pos="22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and/or the SEC Reports, which Disclosure Schedules and/or the SEC Reports (as applicable) shall be deemed a part hereof and shall qualify any representation or otherwise made herein to the extent of the disclosure contained in the corresponding section of the Disclosure Schedules and/or the SEC Report(s) containing relevant disclosure(s), the Company hereby makes the following representations and warranties to each Purchaser:</w:t>
      </w:r>
    </w:p>
    <w:p>
      <w:pPr>
        <w:spacing w:after="0" w:line="180" w:lineRule="exact"/>
        <w:rPr>
          <w:sz w:val="20"/>
          <w:szCs w:val="20"/>
          <w:color w:val="auto"/>
        </w:rPr>
      </w:pPr>
    </w:p>
    <w:p>
      <w:pPr>
        <w:jc w:val="both"/>
        <w:ind w:left="660" w:firstLine="644"/>
        <w:spacing w:after="0" w:line="258" w:lineRule="auto"/>
        <w:tabs>
          <w:tab w:leader="none" w:pos="15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in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8"/>
        <w:spacing w:after="0" w:line="253"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8"/>
        <w:spacing w:after="0" w:line="256" w:lineRule="auto"/>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2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When issued and paid for in accordance with the applicable Transaction Documents, the Shares will be duly and validly issued, fully paid and nonassessable, free and clear of all Liens imposed by the Company other than restrictions on transfer provided for in the Transaction Documents. The Company has prepared and filed the Registration Statement in conformity with the requirements of the Securities Act, which became effective on February 10, 2022,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8"/>
        <w:spacing w:after="0" w:line="251"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 Company has not issued any capital stock since its most recently filed periodic report under the Exchange Act, other than (i) pursuant to the exercise of employee and/or independent contractor stock options under the Company’s stock option plans, the issuance of shares of Common Stock to employees and/or independent contractors outside the Plan (so long as such issuances to the independent contractors do not exceed 30,000 shares of Common Stock), pursuant to the Plan and pursuant to the conversion and/or exercise of Common Stock Equivalents outstanding as of the date of the most recently filed periodic report under the Exchange Act, and (ii) pursuant to the Alumni Purchase Agreement. No Person has any right of first refusal, preemptive right, right of participation, or any similar right to participate in the transactions contemplated by the Transaction Documents. Except pursuant to the Company’s Plan and except the issuance of shares of Common Stock to employees as a result of the purchase and sale of the Securities and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(other than any reports that are required solely pursuant to Item 1.01, 1.02, 1.04, 2.03, 2.04, 2.05, 2.06, 4.02(a) or 5.02(e) of Form 8-K)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8"/>
        <w:spacing w:after="0" w:line="253" w:lineRule="auto"/>
        <w:tabs>
          <w:tab w:leader="none" w:pos="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quarterly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written notice of violation, proceeding or written notice of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that could reasonably be expected to result in a Material Adverse Effect (collectively, an “Action”). None of the Actions disclosed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8"/>
        <w:spacing w:after="0" w:line="253"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8"/>
        <w:spacing w:after="0" w:line="261"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8"/>
        <w:spacing w:after="0" w:line="254" w:lineRule="auto"/>
        <w:tabs>
          <w:tab w:leader="none" w:pos="2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disclosed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equity award agreements under any Plan of the Company.</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2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Except as disclosed in the Company Annual Report on Form 10-K filed with the Commission on March 30, 2022 with respect to material weaknesses in the Company’s internal control over financial reporting, the Company is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Except as disclosed in the SEC Reports,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has established disclosure controls and procedures (as defined in Exchange Act Rules 13a-15(e) and 15d-15(e)) for the Company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Except as disclosed in the SEC Reports,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compensation payable by the Company to the Placement Agent the Company currently believes that,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8"/>
        <w:spacing w:after="0" w:line="266"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pursuant to the registration rights agreement in connection with the Parent, no Person has any right to cause the Company or any Subsidiary to effect the registration under the Securities Act of any securities of the Company or any Subsidiary that have not been satisfied or waived.</w:t>
      </w:r>
    </w:p>
    <w:p>
      <w:pPr>
        <w:spacing w:after="0" w:line="175" w:lineRule="exact"/>
        <w:rPr>
          <w:rFonts w:ascii="Times New Roman" w:cs="Times New Roman" w:eastAsia="Times New Roman" w:hAnsi="Times New Roman"/>
          <w:sz w:val="18"/>
          <w:szCs w:val="18"/>
          <w:color w:val="auto"/>
        </w:rPr>
      </w:pPr>
    </w:p>
    <w:p>
      <w:pPr>
        <w:jc w:val="both"/>
        <w:ind w:firstLine="8"/>
        <w:spacing w:after="0" w:line="254" w:lineRule="auto"/>
        <w:tabs>
          <w:tab w:leader="none" w:pos="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 w:cs="Times New Roman" w:eastAsia="Times New Roman" w:hAnsi="Times New Roman"/>
          <w:sz w:val="18"/>
          <w:szCs w:val="18"/>
          <w:u w:val="single" w:color="auto"/>
          <w:color w:val="auto"/>
        </w:rPr>
        <w:t>Schedule 3.1(w)</w:t>
      </w:r>
      <w:r>
        <w:rPr>
          <w:rFonts w:ascii="Times New Roman" w:cs="Times New Roman" w:eastAsia="Times New Roman" w:hAnsi="Times New Roman"/>
          <w:sz w:val="18"/>
          <w:szCs w:val="18"/>
          <w:color w:val="auto"/>
        </w:rPr>
        <w: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has been disclosed in the SEC Reports.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8"/>
        <w:spacing w:after="0" w:line="261" w:lineRule="auto"/>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0" w:lineRule="exact"/>
        <w:rPr>
          <w:sz w:val="20"/>
          <w:szCs w:val="20"/>
          <w:color w:val="auto"/>
        </w:rPr>
      </w:pPr>
    </w:p>
    <w:p>
      <w:pPr>
        <w:jc w:val="both"/>
        <w:ind w:firstLine="8"/>
        <w:spacing w:after="0" w:line="257"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8"/>
        <w:spacing w:after="0" w:line="255" w:lineRule="auto"/>
        <w:tabs>
          <w:tab w:leader="none" w:pos="3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3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3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and belief of the Company, such accounting firm (i) is a registered public accounting firm as required by the Exchange Act and (ii) is expected to express its opinion with respect to the financial statements to be included in the Company’s Annual Report for the fiscal year ended December 31, 2022.</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8"/>
        <w:spacing w:after="0" w:line="258" w:lineRule="auto"/>
        <w:tabs>
          <w:tab w:leader="none" w:pos="3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6"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except as would not, individually or in the aggregate, have a Material Adverse Effect and (y) the Company and the Subsidiaries have not been notified in writing of, and has no knowledge of any event or condition that would reasonably be expected to result in, any security breach or other compromise to its IT Systems and Data except as would not, individually or in the aggregate,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8"/>
        <w:spacing w:after="0" w:line="266" w:lineRule="auto"/>
        <w:tabs>
          <w:tab w:leader="none" w:pos="3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4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the Company has not been notified in writing of any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660" w:firstLine="1292"/>
        <w:spacing w:after="0" w:line="253" w:lineRule="auto"/>
        <w:tabs>
          <w:tab w:leader="none" w:pos="2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left="-460" w:firstLine="1292"/>
        <w:spacing w:after="0" w:line="258" w:lineRule="auto"/>
        <w:tabs>
          <w:tab w:leader="none" w:pos="11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3" w:lineRule="exact"/>
        <w:rPr>
          <w:rFonts w:ascii="Times New Roman" w:cs="Times New Roman" w:eastAsia="Times New Roman" w:hAnsi="Times New Roman"/>
          <w:sz w:val="18"/>
          <w:szCs w:val="18"/>
          <w:color w:val="auto"/>
        </w:rPr>
      </w:pPr>
    </w:p>
    <w:p>
      <w:pPr>
        <w:ind w:left="-460" w:firstLine="129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 “accredited investor” as defined in Rule 501(a)(1), (a)(2), (a)(3), (a)(7), (a)(8), (a)(9), (a)(12) or (a)(13) under the Securities Act.</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0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2" w:name="page43"/>
    <w:bookmarkEnd w:id="42"/>
    <w:p>
      <w:pPr>
        <w:jc w:val="both"/>
        <w:ind w:left="660" w:firstLine="1292"/>
        <w:spacing w:after="0" w:line="252" w:lineRule="auto"/>
        <w:tabs>
          <w:tab w:leader="none" w:pos="21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the time that no Purchaser owns Securities, the Company covenants use its reasonable commercial efforts to (i) to timely file (or obtain extensions in respect thereof and (ii) file within the applicable grace period) all reports required to be filed by the Company after the date hereof pursuant to the Exchange Act unless the Company is not then subject to the reporting requirements of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no further force or effect. The Company understands and confirms that each Purchaser shall be relying on the foregoing covenant in effecting transactions in securities of the Company.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its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any Transaction Documents unless the same consideration is also offered to all of the parties to any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Compliance with Law; Trading in Securities</w:t>
      </w:r>
      <w:r>
        <w:rPr>
          <w:rFonts w:ascii="Times New Roman" w:cs="Times New Roman" w:eastAsia="Times New Roman" w:hAnsi="Times New Roman"/>
          <w:sz w:val="18"/>
          <w:szCs w:val="18"/>
          <w:color w:val="auto"/>
        </w:rPr>
        <w:t>. Each Purchaser’s trading activities with respect to the Securities shall be in compliance in all material respects with all applicable state and federal securities laws and regulations and the rules and regulations of the Trading Market applicable to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3.1, the representations and warranties of the Purchasers in Section 3.2 and the covenants of the Company in Section 4.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electronic mail, or otherwise by electronic transmission (including any electronic signature complying with the U.S. federal ESIGN Act of 2000, e.g.,www.docusign.com) evidencing an intent to sign this Agreement, such electronic mail or other electronic transmission shall create a valid and binding obligation of the party executing (or on whose behalf such signature is executed) with the same force and effect as if such signature page were an original. Execution and delivery of this Agreement by electronic mail or other electronic transmission is legal, valid and binding for all purposes.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MOTORSPORT GAMES INC.</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[PURCHASER SIGNATURE PAGES TO MSGM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both"/>
        <w:ind w:firstLine="8"/>
        <w:spacing w:after="0" w:line="255" w:lineRule="auto"/>
        <w:tabs>
          <w:tab w:leader="none" w:pos="228"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DEBT-FOR-EQUITY EXCHANGE AGREEMENT</w:t>
      </w:r>
    </w:p>
    <w:p>
      <w:pPr>
        <w:spacing w:after="0" w:line="225" w:lineRule="exact"/>
        <w:rPr>
          <w:sz w:val="20"/>
          <w:szCs w:val="20"/>
          <w:color w:val="auto"/>
        </w:rPr>
      </w:pPr>
    </w:p>
    <w:p>
      <w:pPr>
        <w:jc w:val="both"/>
        <w:ind w:right="20" w:firstLine="648"/>
        <w:spacing w:after="0" w:line="317" w:lineRule="auto"/>
        <w:rPr>
          <w:sz w:val="20"/>
          <w:szCs w:val="20"/>
          <w:color w:val="auto"/>
        </w:rPr>
      </w:pPr>
      <w:r>
        <w:rPr>
          <w:rFonts w:ascii="Times New Roman" w:cs="Times New Roman" w:eastAsia="Times New Roman" w:hAnsi="Times New Roman"/>
          <w:sz w:val="17"/>
          <w:szCs w:val="17"/>
          <w:color w:val="auto"/>
        </w:rPr>
        <w:t>This DEBT-FOR-EQUITY EXCHANGE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February 1, 2023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made by and between Motorsport Games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Motorsport Network, LLC, a Florida limited liability company (“</w:t>
      </w:r>
      <w:r>
        <w:rPr>
          <w:rFonts w:ascii="Times New Roman" w:cs="Times New Roman" w:eastAsia="Times New Roman" w:hAnsi="Times New Roman"/>
          <w:sz w:val="17"/>
          <w:szCs w:val="17"/>
          <w:b w:val="1"/>
          <w:bCs w:val="1"/>
          <w:color w:val="auto"/>
        </w:rPr>
        <w:t>MSN</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Company and MSN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and/or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MSN is the record holder of a promissory note, dated April 1, 2020, as amended on November 23, 2020, that provides the Company with a line of credit of up to $12 million at an interest rate of 10% per annum (the “</w:t>
      </w:r>
      <w:r>
        <w:rPr>
          <w:rFonts w:ascii="Times New Roman" w:cs="Times New Roman" w:eastAsia="Times New Roman" w:hAnsi="Times New Roman"/>
          <w:sz w:val="18"/>
          <w:szCs w:val="18"/>
          <w:b w:val="1"/>
          <w:bCs w:val="1"/>
          <w:color w:val="auto"/>
        </w:rPr>
        <w:t>Line of Credit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 The Company desires to issue shares of its Class A common stock, $0.0001 par value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to MSN in exchange for satisfaction in full of the obligations relating to a portion of the outstanding debt (including the principal and not yet paid interest thereon) under the Line of Credit equal to $2,948,565.99 (the “</w:t>
      </w:r>
      <w:r>
        <w:rPr>
          <w:rFonts w:ascii="Times New Roman" w:cs="Times New Roman" w:eastAsia="Times New Roman" w:hAnsi="Times New Roman"/>
          <w:sz w:val="18"/>
          <w:szCs w:val="18"/>
          <w:b w:val="1"/>
          <w:bCs w:val="1"/>
          <w:color w:val="auto"/>
        </w:rPr>
        <w:t>Discharged Debt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MSN beneficially owns approximately 61.19% of the Class A Common Stock (1 vote per share voting rights) and 100% of Class B common stock, par value $0.0001 per share, of the Company (10 votes per share voting rights)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accordingly, holds the largest ownership position in the Company and 92.42% of the combined voting power of combined Class A Common Stock and Class B Common Stock; upon consummation of the transactions contemplated under this Agreement, because MSN will continue to hold more than 20% of the outstanding Class A Common Stock, holding the largest ownership position in the Company and voting control of the Company, no new control position will be created as a result of the transactions contemplated under this Agreement that would require stockholder approval under Listing Rule 5635(b) of the Nasdaq Stock Market.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MSN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Exchange Commitments</w:t>
      </w:r>
      <w:r>
        <w:rPr>
          <w:rFonts w:ascii="Times New Roman" w:cs="Times New Roman" w:eastAsia="Times New Roman" w:hAnsi="Times New Roman"/>
          <w:sz w:val="18"/>
          <w:szCs w:val="18"/>
          <w:color w:val="auto"/>
        </w:rPr>
        <w:t>. Subject to the terms and conditions of this Agreement, on the Closing Date (as hereinafter defined), (a) the Company will issue to MSN the aggregate number of shares Class A Common Stock equal to the Discharged Debt divided by the lower of: (i) the Nasdaq official closing price (as reflected on Nasdaq.com) of the Class A Common Stock immediately preceding the signing of this Agreement, or (ii) the average Nasdaq official closing price of the Class A Common Stock (as reflected on Nasdaq.com) for the five trading days immediately preceding the signing of this Agreement, and (b) in exchange, MSN will release the Company from any obligations with respect to the Discharged Debt evidencing payment and satisfaction in full of the Discharged Debt for the receipt of the Acquired Shares. The actions described in subparts (a) and (b), collectively, are referred to as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 of Exchange</w:t>
      </w:r>
      <w:r>
        <w:rPr>
          <w:rFonts w:ascii="Times New Roman" w:cs="Times New Roman" w:eastAsia="Times New Roman" w:hAnsi="Times New Roman"/>
          <w:sz w:val="18"/>
          <w:szCs w:val="18"/>
          <w:color w:val="auto"/>
        </w:rPr>
        <w:t>. Upon the Closing, the Discharged Debt will represent solely the right to receive the Acquired Shares. Except for obligations created under this Agreement, by accepting this Agreement, MSN forever releases relieves and discharges the Company and the Company’s past, present and future affiliates, subsidiaries, predecessors, successors, assigns, attorneys, employees, directors, officers, stockholders, agents, and representatives, from any and all claims, demands, actions, cause or causes of action, suits, debts, sums of money, controversies, damages, obligations, breaches and liabilities of every kind and nature, whether known or unknown, in law, equity or otherwise, that have existed or may exist as of the date of this Agreement relating to the Discharged Debt and all matters and agreements in connection therewith and related thereto.</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completion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at 12:00 p.m., Eastern Standard Time, on February 1, 2023 or as soon as practicable thereafter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Closing will take place remotely via the delivery and exchange of documents and signatures.</w:t>
      </w:r>
    </w:p>
    <w:p>
      <w:pPr>
        <w:spacing w:after="0" w:line="155" w:lineRule="exact"/>
        <w:rPr>
          <w:sz w:val="20"/>
          <w:szCs w:val="20"/>
          <w:color w:val="auto"/>
        </w:rPr>
      </w:pPr>
    </w:p>
    <w:p>
      <w:pPr>
        <w:ind w:firstLine="656"/>
        <w:spacing w:after="0" w:line="286" w:lineRule="auto"/>
        <w:tabs>
          <w:tab w:leader="none" w:pos="8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 The Company hereby represents and warrants to MSN as of the Effective Date and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 as follows: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proposed to be conducted.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all requisite corporate power and authority to enter into and to perform its obligations under this Agreement, to consummate the transactions contemplated hereby and to issue the Acquired Shares in accordance with the terms hereof; the execution, delivery and performance of this Agreement by the Company and the consummation of the transactions contemplated hereby (including without limitation the issuance and delivery of the Acquired Shares) have been duly authorized by the Company’s board of directors and no further consent or authorization of the Company, its board of directors or its stockholders is required.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Issuance of Acquired Shares</w:t>
      </w:r>
      <w:r>
        <w:rPr>
          <w:rFonts w:ascii="Times New Roman" w:cs="Times New Roman" w:eastAsia="Times New Roman" w:hAnsi="Times New Roman"/>
          <w:sz w:val="18"/>
          <w:szCs w:val="18"/>
          <w:color w:val="auto"/>
        </w:rPr>
        <w:t>. The Acquired Shares will, upon issuance pursuant to the terms hereof, be duly and validly issued, fully paid and nonassessable and will be free from any liens or encumbrances created by the Company (except as provided in this Agreement with respect to federal and applicable state securities laws). Based in part upon the representations of MSN in Section 3 of this Agreement, the Acquired Shares, when issued and delivered pursuant to this Agreement, will be issued in compliance with federal and all applicable state securities laws. Subject in part to the truth and accuracy of MSN’s representations set forth in Section 3 of this Agreement, the offer, sale and issuance of the Acquired Shares as contemplated by this Agreement are exempt from the registration requirements of the Securities Act, and neither the Company nor any authorized agent acting on its behalf has taken or will take any action hereafter that would cause the loss of such exemption.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 Conflicts;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2.4.1 The execution, delivery and performance of this Agreement by the Company, and the consummation by the Company of the transactions contemplated hereby (including, without limitation, the issuance of the Acquired Shares) do not conflict with or result in a violation of any provision of the Company’s certificate of incorporation or bylaws.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2.4.2 Except as specifically contemplated by this Agreement and as required under the Securities Act and any applicable state securities laws or any listing agreement with any securities exchange or automated quotation system, the Company is not required to obtain any consent, authorization or order of (other than those obtained on or prior to the date hereof), or make any filing or registration with, any court or governmental agency or any regulatory or self-regulatory agency in order for it to execute, deliver or perform any of its obligations under this Agreement in accordance with the terms hereof, or to issue the Acquired Shares in accordance with the terms hereof.</w:t>
      </w:r>
    </w:p>
    <w:p>
      <w:pPr>
        <w:spacing w:after="0" w:line="179" w:lineRule="exact"/>
        <w:rPr>
          <w:sz w:val="20"/>
          <w:szCs w:val="20"/>
          <w:color w:val="auto"/>
        </w:rPr>
      </w:pPr>
    </w:p>
    <w:p>
      <w:pPr>
        <w:ind w:firstLine="656"/>
        <w:spacing w:after="0" w:line="286" w:lineRule="auto"/>
        <w:tabs>
          <w:tab w:leader="none" w:pos="82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MSN. </w:t>
      </w:r>
      <w:r>
        <w:rPr>
          <w:rFonts w:ascii="Times New Roman" w:cs="Times New Roman" w:eastAsia="Times New Roman" w:hAnsi="Times New Roman"/>
          <w:sz w:val="18"/>
          <w:szCs w:val="18"/>
          <w:color w:val="auto"/>
        </w:rPr>
        <w:t>MSN hereby represents and warrants to the Company as of the Effective Date and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Complete Ownership</w:t>
      </w:r>
      <w:r>
        <w:rPr>
          <w:rFonts w:ascii="Times New Roman" w:cs="Times New Roman" w:eastAsia="Times New Roman" w:hAnsi="Times New Roman"/>
          <w:sz w:val="18"/>
          <w:szCs w:val="18"/>
          <w:color w:val="auto"/>
        </w:rPr>
        <w:t>. MSN is the sole record and beneficial owner of the Discharged Debt, free and clear of any and all liens.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MSN is a limited liability company duly organized, validly existing and in good standing under the laws of the State of Florida and has all requisite limited liability company power and authority to carry on its business as now conducted and as proposed to be conducted.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MSN has all requisite limited liability company power and authority to enter into and to perform its obligations under this Agreement, to consummate the transactions contemplated hereby and to tender the Discharged Debt and acquire the Acquired Shares in accordance with the terms hereof; the execution, delivery and performance of this Agreement by MSN and the consummation by it of the transactions contemplated hereby have been duly authorized by all required parties and no further consent or authorization of MSN, its managers or its members is required; and this Agreement has been duly executed and delivered by MSN.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MSN is acquiring the Acquired Shares for its own account for investment purposes only and without any view to, or for resale in connection with, any “distribution” thereof within the meaning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MSN believes that it has received all the information it considers necessary or appropriate for deciding whether to acquire the Acquired Shares hereunder. MSN further represents that it has had an opportunity to ask questions and receive answers from the Company regarding its business and prospects. The foregoing, however, does not limit or modify the representations and warranties of the Company in Section 2 of this Agreement or the right of MSN to rely thereon.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MSN understands that the Acquired Shares have not been registered under the Securities Act or applicable state securities laws, and will be issued in reliance on exemptions from registration under the Securities Act and applicable state securities 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xml:space="preserve"> MSN has such knowledge, sophistication and experience in business and financial matters that it is capable of evaluating the merits, risks and benefits of the investment in the Acquired Shares and has been granted the opportunity to ask questions of, and receive satisfactory answers from, representatives of the Company concerning the Company’s business affairs and financial condition and the terms and conditions of the investment in the Acquired Shares and has had the opportunity to obtain and has obtained any additional information which it deems necessary regarding such purchase. MSN is an “accredited investor” as that term is defined within Regulation 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High Risk</w:t>
      </w:r>
      <w:r>
        <w:rPr>
          <w:rFonts w:ascii="Times New Roman" w:cs="Times New Roman" w:eastAsia="Times New Roman" w:hAnsi="Times New Roman"/>
          <w:sz w:val="18"/>
          <w:szCs w:val="18"/>
          <w:color w:val="auto"/>
        </w:rPr>
        <w:t>. MSN is aware that an investment in the Acquired Shares is highly speculative and subject to substantial risks because, among other things, (a) the Acquired Shares are subject to transfer restrictions and have not been registered under the Securities Act and therefore cannot be sold unless subsequently registered under the Securities Act or an exemption from such registration is available and (b) it may suffer a loss of a portion or all of its investment in the Acquired Shares. MSN has no need for liquidity in this investment, and it is able to bear the economic risk of its investment in the Acquired Shares for an indefinite period of time and can afford a complete loss of its investment in the Acquired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MSN is fully informed and aware of the circumstances under which the Acquired Shares must be held and the restrictions upon the resale of the Acquired Shares under the Securities Act and any applicable state securities laws. In this connection, MSN understands that the Acquired Shares may not be resold unless they are registered under the Securities Act and any applicable state securities laws or unless an exemption from such registration is available, that the availability of an exemption may depend on factors over which the Company has no control, and that unless so registered or exempt from registration the Acquired Shares may be required to be held for an indefinite period.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Further Limitations on Disposition</w:t>
      </w:r>
      <w:r>
        <w:rPr>
          <w:rFonts w:ascii="Times New Roman" w:cs="Times New Roman" w:eastAsia="Times New Roman" w:hAnsi="Times New Roman"/>
          <w:sz w:val="18"/>
          <w:szCs w:val="18"/>
          <w:color w:val="auto"/>
        </w:rPr>
        <w:t>. Without in any way limiting the representations set forth above, MSN further agrees not to make any disposition of all or any portion of the Acquired Shares being purchased hereunder except in compliance with applicable state securities laws and unless: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3.10.1 there is then in effect a registration statement under the Securities Act covering such proposed disposition and such disposition is made in accordance with such registration statement;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3.10.2 such disposition involves: (i) a transfer not involving a change in beneficial ownership; (ii) a transfer in compliance with Rule 144, so long as the Company is furnished with satisfactory evidence of compliance with such Rule; (iii) transfers by any holder who is an individual to a trust for the benefit of such holder or his family; or (iv) transfers by gift, will or intestate succession to the spouse, lineal descendants or ancestors of any holder or spouse of a holder; or</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3.10.3 MSN shall have notified the Company of the proposed disposition and shall have furnished the Company with a detailed statement of the circumstances surrounding the proposed disposition, and, if requested by the Company, MSN shall have furnished the Company with an opinion of counsel, which opinion and counsel shall be reasonably satisfactory to the Company, that such disposition will not require registration under the Securities Act and will be in compliance with applicable state securities laws.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MSN understands that the certificates (or electronic equivalent) or notice or notices of issuance related to uncertificated securities representing the Acquired Shares will contain a legend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one substantially similar thereto, and neither the Company nor its transfer agent or registrar is required to recognize any transfer of the Acquired Shares if, in the opinion of counsel to the Company, such transfer would result in a violation of any federal or state law regarding the offer and sale of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proceedings pending or, to MSN’s knowledge, threatened in writing, against or affecting MSN or MSN’s respective assets, at law or in equity, by or before any governmental authority, or by or on behalf of any third party, which, if adversely determined, would impair MSN’s ability to enter into this Agreement or consummate the transactions contemplated by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Governmental Review</w:t>
      </w:r>
      <w:r>
        <w:rPr>
          <w:rFonts w:ascii="Times New Roman" w:cs="Times New Roman" w:eastAsia="Times New Roman" w:hAnsi="Times New Roman"/>
          <w:sz w:val="18"/>
          <w:szCs w:val="18"/>
          <w:color w:val="auto"/>
        </w:rPr>
        <w:t>. MSN understands that no United States federal or state agency or any other government or governmental agency has passed upon or made any recommendation or endorsement of the Acquired Shares or an investment therein.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Cancellation of Discharged Debt</w:t>
      </w:r>
      <w:r>
        <w:rPr>
          <w:rFonts w:ascii="Times New Roman" w:cs="Times New Roman" w:eastAsia="Times New Roman" w:hAnsi="Times New Roman"/>
          <w:sz w:val="18"/>
          <w:szCs w:val="18"/>
          <w:color w:val="auto"/>
        </w:rPr>
        <w:t>. Upon execution of this Agreement, MSN acknowledges and agrees that (i) the Discharged Debt owing by the Company under the Line of Credit is satisfied in full and (ii) the Company has no further obligation or liability further with respect to the Discharged Debt under the Line of Credit. For the avoidance of doubt, except as expressly amended pursuant hereto or referenced herein, the Line of Credit shall remain unchanged and in full force and effect following any action contemplated in connection with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Registration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Demand Registration Rights</w:t>
      </w:r>
      <w:r>
        <w:rPr>
          <w:rFonts w:ascii="Times New Roman" w:cs="Times New Roman" w:eastAsia="Times New Roman" w:hAnsi="Times New Roman"/>
          <w:sz w:val="18"/>
          <w:szCs w:val="18"/>
          <w:color w:val="auto"/>
        </w:rPr>
        <w:t>. Subject to Sections 4.1.1 and 4.1.2 hereof, at any time within 60 days of the Closing Date, upon the written notice of MSN, the Company shall, within 15 days of receipt of such written notice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file a registration statement under the Securities Act providing for the proposed resale of such Acquired Shares (the “</w:t>
      </w:r>
      <w:r>
        <w:rPr>
          <w:rFonts w:ascii="Times New Roman" w:cs="Times New Roman" w:eastAsia="Times New Roman" w:hAnsi="Times New Roman"/>
          <w:sz w:val="18"/>
          <w:szCs w:val="18"/>
          <w:b w:val="1"/>
          <w:bCs w:val="1"/>
          <w:color w:val="auto"/>
        </w:rPr>
        <w:t>Requested Shares</w:t>
      </w:r>
      <w:r>
        <w:rPr>
          <w:rFonts w:ascii="Times New Roman" w:cs="Times New Roman" w:eastAsia="Times New Roman" w:hAnsi="Times New Roman"/>
          <w:sz w:val="18"/>
          <w:szCs w:val="18"/>
          <w:color w:val="auto"/>
        </w:rPr>
        <w:t>”), all to the extent requisite to permit the sale or other disposition by the prospective seller or sellers of the Requested Shares; provided that the Company shall not be obligated to file any such registration statement under any one of the following conditions:</w:t>
      </w:r>
    </w:p>
    <w:p>
      <w:pPr>
        <w:spacing w:after="0" w:line="183" w:lineRule="exact"/>
        <w:rPr>
          <w:sz w:val="20"/>
          <w:szCs w:val="20"/>
          <w:color w:val="auto"/>
        </w:rPr>
      </w:pPr>
    </w:p>
    <w:p>
      <w:pPr>
        <w:ind w:left="1960" w:hanging="656"/>
        <w:spacing w:after="0" w:line="282"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Company has effected two such registrations pursuant to this Section 4.1 and each such registration has been declared or ordered effective;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left="1960" w:hanging="656"/>
        <w:spacing w:after="0" w:line="266"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MSN may dispose of the Requested Shares pursuant to an effective registration statement on Form S-3 under the Securities Act as in effect on the date hereof or any successor form under the Securities Act (including if such registration statement is filed under Section 4.2 below); or</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undertake, or be required to undertake, any action to qualify, register or list any securities on any exchange other than the exchange on which its securities are traded at the time.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4.1.1 In the event that updated financial statements are required to file such registration statement, the Company can, at its sole discretion, defer the filing date of the registration statement beyond the 15 days of receipt of the Demand Notice until 15 days after the Company has filed an annual or quarterly report, as the case may be, with such updated financial statements.</w:t>
      </w:r>
    </w:p>
    <w:p>
      <w:pPr>
        <w:spacing w:after="0" w:line="172"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4.1.2 In the event that the Company enters into a private investment into public entity transaction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the Company shall not file a registration statement pursuant to Section 4.1 hereof until 30 calendar days after the effective date of the securities purchase agreement related to such PIPE.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After the Closing Date, if the Company shall determine to proceed with the preparation and filing of a new registration statement under the Securities Act in connection with a proposed offer and sale of any of its securities by it or any of its security holders (other than (i) a registration statement on Form S-4, S-8 or other limited purpose form or (ii) a registration statement to register the resale of securities sold in connection with a PIPE transaction), the Company will give written notice of its determination to MSN. If within five calendar days after its receipt of any such notice MSN shall so request in writing, the Company will, except as herein provided, cause all of the Acquired Shares covered by such request (the “</w:t>
      </w:r>
      <w:r>
        <w:rPr>
          <w:rFonts w:ascii="Times New Roman" w:cs="Times New Roman" w:eastAsia="Times New Roman" w:hAnsi="Times New Roman"/>
          <w:sz w:val="18"/>
          <w:szCs w:val="18"/>
          <w:b w:val="1"/>
          <w:bCs w:val="1"/>
          <w:color w:val="auto"/>
        </w:rPr>
        <w:t>Requested Piggyback Shares</w:t>
      </w:r>
      <w:r>
        <w:rPr>
          <w:rFonts w:ascii="Times New Roman" w:cs="Times New Roman" w:eastAsia="Times New Roman" w:hAnsi="Times New Roman"/>
          <w:sz w:val="18"/>
          <w:szCs w:val="18"/>
          <w:color w:val="auto"/>
        </w:rPr>
        <w:t>”) to be included in such registration statement, all to the extent requisite to permit the sale or other disposition by the prospective seller or sellers of the Requested Piggyback Shares. If any registration pursuant to this Section 4.2 shall be underwritten in whole or in part in connection with an underwritten offering by the Company of its securities, the Company may require that the Requested Piggyback Shares be included in the underwriting on the same terms and conditions as the securities otherwise being sold through the underwriters. In such event, MSN shall, if requested by the underwriters, execute an underwriting agreement containing customary representations and warranties by selling shareholders; provided, that the representations by MSN shall be limited to matters relating to its ownership or the Acquired Shares being registered and related matters. If the managing underwriter of such public offering advises the Company that the inclusion of any or all of the Requested Piggyback Shares would reduce the number of shares to be offered by the Company or interfere with the successful marketing of the securities offered by the Company, the number of shares of Requested Piggyback Shares otherwise to be included in the underwritten public offering may be reduced pro rata (by number of shares) among MSN and all other holders of piggyback registration rights with respect to the Company’s shares who have requested inclusion of their securities or excluded in their entirety if so required by the underwriter. Registration pursuant to this Section 4.2 shall not be deemed to be a demand registration as described in Section 4.1 above. The Company’s obligations under this Section 4.2 shall not apply to the Acquired Shares after the earlier of (a) five years from the date of this Agreement, (b) the date that the Acquired Shares have been sold pursuant to Rule 144 or an effective registration statement, and (c) such time as the Acquired Shares are eligible for immediate resale pursuant to Rule 144 and MSN is no longer an affiliate of the Company at that time.</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b w:val="1"/>
          <w:bCs w:val="1"/>
          <w:color w:val="auto"/>
        </w:rPr>
        <w:t>5. 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will be governed by and interpreted in accordance with the laws of the State of Delaware without regard to the principles of conflict of laws. The parties hereto hereby submit to the exclusive jurisdiction of the United States federal and state courts located in the State of Florida with respect to any dispute arising under this Agreement, the agreements entered into in connection herewith or the transactions contemplated hereby or thereby.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Counterparts; Signatures by Electronic Transmission</w:t>
      </w:r>
      <w:r>
        <w:rPr>
          <w:rFonts w:ascii="Times New Roman" w:cs="Times New Roman" w:eastAsia="Times New Roman" w:hAnsi="Times New Roman"/>
          <w:sz w:val="18"/>
          <w:szCs w:val="18"/>
          <w:color w:val="auto"/>
        </w:rPr>
        <w:t>. This Agreement may be executed in two or more counterparts, all of which are considered one and the same agreement and will become effective when counterparts have been signed by each party and delivered to the other parties. This Agreement, once executed by a party, may be delivered to the other parties hereto by electronic (PDF) transmission of a copy of this Agreement bearing the signature of the party so delivering this Agreement.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invalid or unenforceable under any applicable statute or rule of law, then such provision will be deemed modified in order to conform with such statute or rule of law. Any provision hereof that may prove invalid or unenforceable under any law will not affect the validity or enforceability of any other provision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among the parties hereto with respect to the subject matter hereof and thereof. There are no restrictions, promises, warranties or undertakings, other than those set forth or referred to herein or therein. This Agreement supersedes all prior agreements and understandings among the parties hereto with respect to the subject matter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Consents; Waivers and Amendments</w:t>
      </w:r>
      <w:r>
        <w:rPr>
          <w:rFonts w:ascii="Times New Roman" w:cs="Times New Roman" w:eastAsia="Times New Roman" w:hAnsi="Times New Roman"/>
          <w:sz w:val="18"/>
          <w:szCs w:val="18"/>
          <w:color w:val="auto"/>
        </w:rPr>
        <w:t>. The provisions of this Agreement may only be amended, modified, supplemented or waived upon the prior written consent of the Company and MSN.</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to be given under the terms of this Agreement must be sent by certified or registered mail (return receipt requested) or delivered personally or by courier (including a recognized overnight delivery service) or by electronic transmission and will be effective five days after being placed in the mail, if mailed by regular U.S. mail, or upon receipt, if delivered personally, by courier (including a recognized overnight delivery service) or by facsimile, in each case addressed to a party. The addresses for such communications are: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ind w:left="1300"/>
        <w:spacing w:after="0"/>
        <w:rPr>
          <w:sz w:val="20"/>
          <w:szCs w:val="20"/>
          <w:color w:val="auto"/>
        </w:rPr>
      </w:pPr>
      <w:r>
        <w:rPr>
          <w:rFonts w:ascii="Times New Roman" w:cs="Times New Roman" w:eastAsia="Times New Roman" w:hAnsi="Times New Roman"/>
          <w:sz w:val="18"/>
          <w:szCs w:val="18"/>
          <w:color w:val="auto"/>
        </w:rPr>
        <w:t>Miami, FL 33137</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dk@motorsportgames.com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Dmitry Kozko, CEO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MSN: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ind w:left="1300"/>
        <w:spacing w:after="0"/>
        <w:rPr>
          <w:sz w:val="20"/>
          <w:szCs w:val="20"/>
          <w:color w:val="auto"/>
        </w:rPr>
      </w:pPr>
      <w:r>
        <w:rPr>
          <w:rFonts w:ascii="Times New Roman" w:cs="Times New Roman" w:eastAsia="Times New Roman" w:hAnsi="Times New Roman"/>
          <w:sz w:val="18"/>
          <w:szCs w:val="18"/>
          <w:color w:val="auto"/>
        </w:rPr>
        <w:t>Miami, FL 33137</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mz@motorsport.com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Mike Zoi</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will provide written notice to the other parties of any change in its address.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all of its terms, conditions and covenants are intended to be fully effective and binding, to the extent permitted by law, on the heirs, executors, administrators, successors and permitted assigns of the parties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Unless otherwise set forth in this Agreement, the representations and warranties of the Company and MSN contained in or made pursuant to this Agreement will survive the execution and delivery of this Agreement and the closings under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will do and perform, or cause to be done and performed, all such further acts and things, and will execute and deliver all other agreements, certificates, instruments and documents, as another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party recognizes that, if it fails to perform or discharge any of its obligations under this Agreement, any remedy at law may prove to be inadequate relief to the other parties. Each of the parties therefore agrees that the other parties are entitled to temporary and permanent injunctive relief in any such case without the necessity of proving actual damages.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Dmitry Kozko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MOTORSPORT NETWORK,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Mike Zoi</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Manager</w:t>
      </w:r>
    </w:p>
    <w:p>
      <w:pPr>
        <w:spacing w:after="0" w:line="20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[Signature Page to Debt-for-Equity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(THE “U.S. SECURITIES ACT”) OR THE SECURITIES LAWS OF ANY STATE OF THE UNITED STATES. THE HOLDER HEREOF, BY PURCHASING SUCH SECURITIES, AGREES FOR THE BENEFIT OF THE COMPANY THAT SUCH SECURITIES MAY BE OFFERED, SOLD OR OTHERWISE TRANSFERRED ONLY (A) TO THE COMPANY; (B) OUTSIDE THE UNITED STATES IN ACCORDANCE WITH RULE 904 OF REGULATION S UNDER THE U.S. SECURITIES ACT; (C) IN ACCORDANCE WITH THE EXEMPTION FROM REGISTRATION UNDER THE U.S. SECURITIES ACT PROVIDED BY RULE 144 THEREUNDER, IF AVAILABLE, AND IN COMPLIANCE WITH ANY APPLICABLE STATE SECURITIES LAWS; OR (D) IN A TRANSACTION THAT DOES NOT REQUIRE REGISTRATION UNDER THE U.S. SECURITIES ACT AND ANY APPLICABLE STATE SECURITIES LAWS, AND, IN THE CASE OF PARAGRAPH (C) OR (D), THE SELLER FURNISHES TO THE COMPANY AN OPINION OF COUNSEL OF RECOGNIZED STANDING IN FORM AND SUBSTANCE SATISFACTORY TO THE COMPANY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Announces $3.9 Million Registered Direct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Priced At-the-Market Under Nasdaq Rules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MIAMI, Feb. 1, 2023 — Motorsport Games Inc. (NASDAQ: MSGM) (“Motorsport Games” or the “Company”), today announced that it has entered into a definitive agreement for the issuance and sale of an aggregate of 183,020 shares of the Company’s Class A common stock at a purchase price of $21.40 per share in a registered direct offering priced at-the-market under Nasdaq rules. The closing of the offering is expected to occur on or about February 3, 2023, subject to the satisfaction of customary closing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to Motorsport Games from the offering are expected to be approximately $3.9 million, before deducting the placement agent’s fees and other offering expenses payable by the Company. Motorsport Games currently intends to use the net proceeds from the private placement for development of multiple games, working capital and general corporate purposes.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described above are being offered and sold by the Company pursuant to a “shelf” registration statement on Form S-3 (Registration No. 333-262462), including a base prospectus, previously filed with the Securities and Exchange Commission (SEC) on February 1, 2022 and declared effective by the SEC on February 10, 2022. The offering of the shares of Class A common stock are being made only by means of a prospectus supplement that forms a part of the registration statement. A final prospectus supplement and an accompanying base prospectus relating to the offering will be filed with the SEC and will be available on the SEC’s website located at http://www.sec.gov. Electronic copies of the final prospectus supplement and accompanying base prospectus may also be obtained by contacting H.C. Wainwright &amp; Co., LLC at 430 Park Avenue, 3rd Floor, New York, NY 10022, by phone at (212) 856-5711 or e-mail at placements@hcwco.com.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Motorsport Games: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Motorsport Games, a Motorsport Network company, is a leading racing game developer, publisher and esports ecosystem provider of official motorsport racing series throughout the world. Combining innovative and engaging video games with exciting esports competitions and content for racing fans and gamers, Motorsport Games strives to make the joy of racing accessible to everyone. The Company is the officially licensed video game developer and publisher for iconic motorsport racing series across PC, PlayStation, Xbox, Nintendo Switch and mobile, including NASCAR, INDYCAR, 24 Hours of Le Mans and the British Touring Car Championship (“BTCC”), as well as the industry leading rFactor 2 and KartKraft simulations. rFactor 2 also serves as the official sim racing platform of Formula E, while also powering F1 Arcade through a partnership with Kindred Concepts. Motorsport Games is an award-winning esports partner of choice for 24 Hours of Le Mans, Formula E, BTCC, the FIA World Rallycross Championship and the eNASCAR Heat Pro League, among others. Motorsport Games is building a virtual racing ecosystem where each product drives excitement, every esports event is an adventure and every story inspires.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in this press release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 All forward-looking statements involve significant risks and uncertainties that could cause actual results to differ materially from those expressed or implied in the forward-looking statements, many of which are generally outside the control of Motorsport Games and are difficult to predict. Examples of such risks and uncertainties include, without limitation, market and other conditions, statements regarding the completion of the registered direct offering, the satisfaction of customary closing conditions related to the registered direct offering and the anticipated use of proceeds therefrom. Additional factors that could cause actual results to differ materially from those expressed or implied in the forward-looking statements can be found in Motorsport Games’ filings with the SEC, including its Annual Report on Form 10-K for the fiscal year ended December 31, 2021, its Quarterly Reports on Form 10-Q filed with the SEC during 2022,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(ir.motorsportgames.com),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Websites</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Social Media</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motorsportgames.com</w:t>
            </w:r>
          </w:p>
        </w:tc>
        <w:tc>
          <w:tcPr>
            <w:tcW w:w="220" w:type="dxa"/>
            <w:vAlign w:val="bottom"/>
          </w:tcPr>
          <w:p>
            <w:pPr>
              <w:spacing w:after="0"/>
              <w:rPr>
                <w:sz w:val="17"/>
                <w:szCs w:val="17"/>
                <w:color w:val="auto"/>
              </w:rPr>
            </w:pPr>
          </w:p>
        </w:tc>
        <w:tc>
          <w:tcPr>
            <w:tcW w:w="7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Twitter: @msportgames &amp; @traxiongg</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traxion.gg</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Instagram: msportgames &amp; traxiongg</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motorsport.com</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Facebook: Motorsport Games &amp; traxiongg</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LinkedIn: Motorsport Games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Twitch: traxiongg</w:t>
            </w: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Reddit: traxiongg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these websites and social media channels are not part of, nor will they be incorporated by reference into,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investors@motorsportgames.com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pr@motorsportgames.ccom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Converts All Remaining Debt in Additional Debt-for-Equity Exchange with Motorsport Network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February 1, 2023 — </w:t>
      </w:r>
      <w:r>
        <w:rPr>
          <w:rFonts w:ascii="Times New Roman" w:cs="Times New Roman" w:eastAsia="Times New Roman" w:hAnsi="Times New Roman"/>
          <w:sz w:val="18"/>
          <w:szCs w:val="18"/>
          <w:color w:val="auto"/>
        </w:rPr>
        <w:t>Motorsport Games Inc. (NASDAQ: MSGM) (“Motorsport Games” or the “Company”) today announced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entered into an additional debt-for-equity exchange agreement (the “Agreement”) with its majority stockholder, Motorsport Network, LLC (“Motorsport Network”), to repay $2,948,565.99 representing all remaining debt (including principal and accrued and not yet paid interest) of the Company under its $12 million line of credit with Motorsport Network.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Agreement, for a period of 60 days from the closing of the transactions contemplated under the Agreement, the Company agreed to file a registration statement with the Securities and Exchange Commission (“SEC”) upon Motorsport Network’s demand in order to register the resale of the shares acquired by Motorsport Network under the Agreement, subject to the terms and conditions of the Agreement. The Agreement also granted certain piggyback registration rights to Motorsport Network.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is incomplete, and further details relating to the Agreement, including additional terms and conditions, and this transaction will be contained in the Current Report on Form 8-K the Company intends to file with the SEC later today or tomorrow.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Motorsport Games: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Motorsport Games, a Motorsport Network company, is a leading racing game developer, publisher and esports ecosystem provider of official motorsport racing series throughout the world. Combining innovative and engaging video games with exciting esports competitions and content for racing fans and gamers, Motorsport Games strives to make the joy of racing accessible to everyone. The Company is the officially licensed video game developer and publisher for iconic motorsport racing series across PC, PlayStation, Xbox, Nintendo Switch and mobile, including NASCAR, INDYCAR, 24 Hours of Le Mans and the British Touring Car Championship (“BTCC”), as well as the industry leading rFactor 2 and KartKraft simulations. rFactor 2 also serves as the official sim racing platform of Formula E, while also powering F1 Arcade through a partnership with Kindred Concepts. Motorsport Games is an award-winning esports partner of choice for 24 Hours of Le Mans, Formula E, BTCC, the FIA World Rallycross Championship and the eNASCAR Heat Pro League, among others. Motorsport Games is building a virtual racing ecosystem where each product drives excitement, every esports event is an adventure and every story inspires.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in this press release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 All forward-looking statements involve significant risks and uncertainties that could cause actual results to differ materially from those expressed or implied in the forward-looking statements, many of which are generally outside the control of Motorsport Games and are difficult to predict. Examples of such risks and uncertainties include, without limitation, issuance of shares of Class A common stock under the Agreement impacting the value of the Company’s Class A common stock and less than expected benefits, such as the ability to develop product and achieve growth, from any transaction under the Agreement. Additional factors that could cause actual results to differ materially from those expressed or implied in the forward-looking statements can be found in Motorsport Games’ filings with the SEC, including its Annual Report on Form 10-K for the fiscal year ended December 31, 2021, its Quarterly Reports on Form 10-Q filed with the SEC during 2022,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(ir.motorsportgames.com),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Websites</w:t>
            </w:r>
          </w:p>
        </w:tc>
        <w:tc>
          <w:tcPr>
            <w:tcW w:w="4640" w:type="dxa"/>
            <w:vAlign w:val="bottom"/>
            <w:gridSpan w:val="14"/>
          </w:tcPr>
          <w:p>
            <w:pPr>
              <w:ind w:left="1560"/>
              <w:spacing w:after="0"/>
              <w:rPr>
                <w:sz w:val="20"/>
                <w:szCs w:val="20"/>
                <w:color w:val="auto"/>
              </w:rPr>
            </w:pPr>
            <w:r>
              <w:rPr>
                <w:rFonts w:ascii="Times New Roman" w:cs="Times New Roman" w:eastAsia="Times New Roman" w:hAnsi="Times New Roman"/>
                <w:sz w:val="18"/>
                <w:szCs w:val="18"/>
                <w:b w:val="1"/>
                <w:bCs w:val="1"/>
                <w:color w:val="auto"/>
              </w:rPr>
              <w:t>Social Media</w:t>
            </w:r>
          </w:p>
        </w:tc>
      </w:tr>
      <w:tr>
        <w:trPr>
          <w:trHeight w:val="196"/>
        </w:trPr>
        <w:tc>
          <w:tcPr>
            <w:tcW w:w="1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motorsportgames.com</w:t>
            </w:r>
          </w:p>
        </w:tc>
        <w:tc>
          <w:tcPr>
            <w:tcW w:w="1560" w:type="dxa"/>
            <w:vAlign w:val="bottom"/>
          </w:tcPr>
          <w:p>
            <w:pPr>
              <w:spacing w:after="0"/>
              <w:rPr>
                <w:sz w:val="17"/>
                <w:szCs w:val="17"/>
                <w:color w:val="auto"/>
              </w:rPr>
            </w:pPr>
          </w:p>
        </w:tc>
        <w:tc>
          <w:tcPr>
            <w:tcW w:w="4640" w:type="dxa"/>
            <w:vAlign w:val="bottom"/>
            <w:gridSpan w:val="14"/>
          </w:tcPr>
          <w:p>
            <w:pPr>
              <w:ind w:left="1560"/>
              <w:spacing w:after="0" w:line="196" w:lineRule="exact"/>
              <w:rPr>
                <w:sz w:val="20"/>
                <w:szCs w:val="20"/>
                <w:color w:val="auto"/>
              </w:rPr>
            </w:pPr>
            <w:r>
              <w:rPr>
                <w:rFonts w:ascii="Times New Roman" w:cs="Times New Roman" w:eastAsia="Times New Roman" w:hAnsi="Times New Roman"/>
                <w:sz w:val="18"/>
                <w:szCs w:val="18"/>
                <w:color w:val="auto"/>
              </w:rPr>
              <w:t xml:space="preserve">Twitter: </w:t>
            </w:r>
            <w:r>
              <w:rPr>
                <w:rFonts w:ascii="Times New Roman" w:cs="Times New Roman" w:eastAsia="Times New Roman" w:hAnsi="Times New Roman"/>
                <w:sz w:val="18"/>
                <w:szCs w:val="18"/>
                <w:i w:val="1"/>
                <w:iCs w:val="1"/>
                <w:color w:val="auto"/>
              </w:rPr>
              <w:t>@msportgames &amp; @traxiongg</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traxion.gg</w:t>
            </w:r>
          </w:p>
        </w:tc>
        <w:tc>
          <w:tcPr>
            <w:tcW w:w="86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4640" w:type="dxa"/>
            <w:vAlign w:val="bottom"/>
            <w:gridSpan w:val="14"/>
          </w:tcPr>
          <w:p>
            <w:pPr>
              <w:ind w:left="1560"/>
              <w:spacing w:after="0" w:line="196" w:lineRule="exact"/>
              <w:rPr>
                <w:sz w:val="20"/>
                <w:szCs w:val="20"/>
                <w:color w:val="auto"/>
              </w:rPr>
            </w:pPr>
            <w:r>
              <w:rPr>
                <w:rFonts w:ascii="Times New Roman" w:cs="Times New Roman" w:eastAsia="Times New Roman" w:hAnsi="Times New Roman"/>
                <w:sz w:val="18"/>
                <w:szCs w:val="18"/>
                <w:color w:val="auto"/>
              </w:rPr>
              <w:t xml:space="preserve">Instagram: </w:t>
            </w:r>
            <w:r>
              <w:rPr>
                <w:rFonts w:ascii="Times New Roman" w:cs="Times New Roman" w:eastAsia="Times New Roman" w:hAnsi="Times New Roman"/>
                <w:sz w:val="18"/>
                <w:szCs w:val="18"/>
                <w:i w:val="1"/>
                <w:iCs w:val="1"/>
                <w:color w:val="auto"/>
              </w:rPr>
              <w:t>msportgames &amp; traxiongg</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motorsport.com</w:t>
            </w:r>
          </w:p>
        </w:tc>
        <w:tc>
          <w:tcPr>
            <w:tcW w:w="2020" w:type="dxa"/>
            <w:vAlign w:val="bottom"/>
            <w:gridSpan w:val="2"/>
          </w:tcPr>
          <w:p>
            <w:pPr>
              <w:spacing w:after="0"/>
              <w:rPr>
                <w:sz w:val="17"/>
                <w:szCs w:val="17"/>
                <w:color w:val="auto"/>
              </w:rPr>
            </w:pPr>
          </w:p>
        </w:tc>
        <w:tc>
          <w:tcPr>
            <w:tcW w:w="4640" w:type="dxa"/>
            <w:vAlign w:val="bottom"/>
            <w:gridSpan w:val="14"/>
          </w:tcPr>
          <w:p>
            <w:pPr>
              <w:ind w:left="1560"/>
              <w:spacing w:after="0" w:line="196" w:lineRule="exact"/>
              <w:rPr>
                <w:sz w:val="20"/>
                <w:szCs w:val="20"/>
                <w:color w:val="auto"/>
              </w:rPr>
            </w:pPr>
            <w:r>
              <w:rPr>
                <w:rFonts w:ascii="Times New Roman" w:cs="Times New Roman" w:eastAsia="Times New Roman" w:hAnsi="Times New Roman"/>
                <w:sz w:val="18"/>
                <w:szCs w:val="18"/>
                <w:color w:val="auto"/>
                <w:w w:val="99"/>
              </w:rPr>
              <w:t xml:space="preserve">Facebook: </w:t>
            </w:r>
            <w:r>
              <w:rPr>
                <w:rFonts w:ascii="Times New Roman" w:cs="Times New Roman" w:eastAsia="Times New Roman" w:hAnsi="Times New Roman"/>
                <w:sz w:val="18"/>
                <w:szCs w:val="18"/>
                <w:i w:val="1"/>
                <w:iCs w:val="1"/>
                <w:color w:val="auto"/>
                <w:w w:val="99"/>
              </w:rPr>
              <w:t>Motorsport Games &amp; traxiongg</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40" w:type="dxa"/>
            <w:vAlign w:val="bottom"/>
            <w:gridSpan w:val="14"/>
          </w:tcPr>
          <w:p>
            <w:pPr>
              <w:ind w:left="1560"/>
              <w:spacing w:after="0" w:line="196" w:lineRule="exact"/>
              <w:rPr>
                <w:sz w:val="20"/>
                <w:szCs w:val="20"/>
                <w:color w:val="auto"/>
              </w:rPr>
            </w:pPr>
            <w:r>
              <w:rPr>
                <w:rFonts w:ascii="Times New Roman" w:cs="Times New Roman" w:eastAsia="Times New Roman" w:hAnsi="Times New Roman"/>
                <w:sz w:val="18"/>
                <w:szCs w:val="18"/>
                <w:color w:val="auto"/>
              </w:rPr>
              <w:t xml:space="preserve">LinkedIn: </w:t>
            </w:r>
            <w:r>
              <w:rPr>
                <w:rFonts w:ascii="Times New Roman" w:cs="Times New Roman" w:eastAsia="Times New Roman" w:hAnsi="Times New Roman"/>
                <w:sz w:val="18"/>
                <w:szCs w:val="18"/>
                <w:i w:val="1"/>
                <w:iCs w:val="1"/>
                <w:color w:val="auto"/>
              </w:rPr>
              <w:t>Motorsport Games</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40" w:type="dxa"/>
            <w:vAlign w:val="bottom"/>
            <w:gridSpan w:val="14"/>
          </w:tcPr>
          <w:p>
            <w:pPr>
              <w:ind w:left="1560"/>
              <w:spacing w:after="0" w:line="196" w:lineRule="exact"/>
              <w:rPr>
                <w:sz w:val="20"/>
                <w:szCs w:val="20"/>
                <w:color w:val="auto"/>
              </w:rPr>
            </w:pPr>
            <w:r>
              <w:rPr>
                <w:rFonts w:ascii="Times New Roman" w:cs="Times New Roman" w:eastAsia="Times New Roman" w:hAnsi="Times New Roman"/>
                <w:sz w:val="18"/>
                <w:szCs w:val="18"/>
                <w:color w:val="auto"/>
              </w:rPr>
              <w:t xml:space="preserve">Twitch: </w:t>
            </w:r>
            <w:r>
              <w:rPr>
                <w:rFonts w:ascii="Times New Roman" w:cs="Times New Roman" w:eastAsia="Times New Roman" w:hAnsi="Times New Roman"/>
                <w:sz w:val="18"/>
                <w:szCs w:val="18"/>
                <w:i w:val="1"/>
                <w:iCs w:val="1"/>
                <w:color w:val="auto"/>
              </w:rPr>
              <w:t>traxiongg</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40" w:type="dxa"/>
            <w:vAlign w:val="bottom"/>
            <w:gridSpan w:val="14"/>
          </w:tcPr>
          <w:p>
            <w:pPr>
              <w:ind w:left="1560"/>
              <w:spacing w:after="0"/>
              <w:rPr>
                <w:sz w:val="20"/>
                <w:szCs w:val="20"/>
                <w:color w:val="auto"/>
              </w:rPr>
            </w:pPr>
            <w:r>
              <w:rPr>
                <w:rFonts w:ascii="Times New Roman" w:cs="Times New Roman" w:eastAsia="Times New Roman" w:hAnsi="Times New Roman"/>
                <w:sz w:val="18"/>
                <w:szCs w:val="18"/>
                <w:color w:val="auto"/>
              </w:rPr>
              <w:t xml:space="preserve">Reddit: </w:t>
            </w:r>
            <w:r>
              <w:rPr>
                <w:rFonts w:ascii="Times New Roman" w:cs="Times New Roman" w:eastAsia="Times New Roman" w:hAnsi="Times New Roman"/>
                <w:sz w:val="18"/>
                <w:szCs w:val="18"/>
                <w:i w:val="1"/>
                <w:iCs w:val="1"/>
                <w:color w:val="auto"/>
              </w:rPr>
              <w:t>traxiongg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these websites and social media channels are not part of, nor will they be incorporated by reference into,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investors@motorsportgames.com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pr@motorsportgames.com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1"/>
    </w:lvl>
  </w:abstractNum>
  <w:abstractNum w:abstractNumId="2">
    <w:nsid w:val="B03E0C6"/>
    <w:multiLevelType w:val="hybridMultilevel"/>
    <w:lvl w:ilvl="0">
      <w:lvlJc w:val="left"/>
      <w:lvlText w:val="(%1)"/>
      <w:numFmt w:val="upperLetter"/>
      <w:start w:val="1"/>
    </w:lvl>
  </w:abstractNum>
  <w:abstractNum w:abstractNumId="3">
    <w:nsid w:val="189A769B"/>
    <w:multiLevelType w:val="hybridMultilevel"/>
    <w:lvl w:ilvl="0">
      <w:lvlJc w:val="left"/>
      <w:lvlText w:val="(%1)"/>
      <w:numFmt w:val="upperLetter"/>
      <w:start w:val="24"/>
    </w:lvl>
  </w:abstractNum>
  <w:abstractNum w:abstractNumId="4">
    <w:nsid w:val="54E49EB4"/>
    <w:multiLevelType w:val="hybridMultilevel"/>
    <w:lvl w:ilvl="0">
      <w:lvlJc w:val="left"/>
      <w:lvlText w:val="%1)"/>
      <w:numFmt w:val="lowerLetter"/>
      <w:start w:val="4"/>
    </w:lvl>
    <w:lvl w:ilvl="1">
      <w:lvlJc w:val="left"/>
      <w:lvlText w:val="%2."/>
      <w:numFmt w:val="lowerRoman"/>
      <w:start w:val="1"/>
    </w:lvl>
  </w:abstractNum>
  <w:abstractNum w:abstractNumId="5">
    <w:nsid w:val="71F32454"/>
    <w:multiLevelType w:val="hybridMultilevel"/>
    <w:lvl w:ilvl="0">
      <w:lvlJc w:val="left"/>
      <w:lvlText w:val="%1."/>
      <w:numFmt w:val="lowerRoman"/>
      <w:start w:val="4"/>
    </w:lvl>
  </w:abstractNum>
  <w:abstractNum w:abstractNumId="6">
    <w:nsid w:val="2CA88611"/>
    <w:multiLevelType w:val="hybridMultilevel"/>
    <w:lvl w:ilvl="0">
      <w:lvlJc w:val="left"/>
      <w:lvlText w:val="%1)"/>
      <w:numFmt w:val="lowerLetter"/>
      <w:start w:val="5"/>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3"/>
    </w:lvl>
    <w:lvl w:ilvl="1">
      <w:lvlJc w:val="left"/>
      <w:lvlText w:val="%2)"/>
      <w:numFmt w:val="lowerLetter"/>
      <w:start w:val="4"/>
    </w:lvl>
  </w:abstractNum>
  <w:abstractNum w:abstractNumId="9">
    <w:nsid w:val="3A95F874"/>
    <w:multiLevelType w:val="hybridMultilevel"/>
    <w:lvl w:ilvl="0">
      <w:lvlJc w:val="left"/>
      <w:lvlText w:val="%1)"/>
      <w:numFmt w:val="lowerLetter"/>
      <w:start w:val="5"/>
    </w:lvl>
    <w:lvl w:ilvl="1">
      <w:lvlJc w:val="left"/>
      <w:lvlText w:val="%2."/>
      <w:numFmt w:val="lowerRoman"/>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5"/>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2"/>
    </w:lvl>
    <w:lvl w:ilvl="1">
      <w:lvlJc w:val="left"/>
      <w:lvlText w:val="["/>
      <w:numFmt w:val="bullet"/>
      <w:start w:val="1"/>
    </w:lvl>
  </w:abstractNum>
  <w:abstractNum w:abstractNumId="15">
    <w:nsid w:val="22221A70"/>
    <w:multiLevelType w:val="hybridMultilevel"/>
    <w:lvl w:ilvl="0">
      <w:lvlJc w:val="left"/>
      <w:lvlText w:val="(%1)"/>
      <w:numFmt w:val="decimal"/>
      <w:start w:val="4"/>
    </w:lvl>
  </w:abstractNum>
  <w:abstractNum w:abstractNumId="16">
    <w:nsid w:val="4516DDE9"/>
    <w:multiLevelType w:val="hybridMultilevel"/>
    <w:lvl w:ilvl="0">
      <w:lvlJc w:val="left"/>
      <w:lvlText w:val="%1."/>
      <w:numFmt w:val="upperLetter"/>
      <w:start w:val="1"/>
    </w:lvl>
  </w:abstractNum>
  <w:abstractNum w:abstractNumId="17">
    <w:nsid w:val="3006C83E"/>
    <w:multiLevelType w:val="hybridMultilevel"/>
    <w:lvl w:ilvl="0">
      <w:lvlJc w:val="left"/>
      <w:lvlText w:val="%1."/>
      <w:numFmt w:val="upperLetter"/>
      <w:start w:val="6"/>
    </w:lvl>
  </w:abstractNum>
  <w:abstractNum w:abstractNumId="18">
    <w:nsid w:val="614FD4A1"/>
    <w:multiLevelType w:val="hybridMultilevel"/>
    <w:lvl w:ilvl="0">
      <w:lvlJc w:val="left"/>
      <w:lvlText w:val="(%1)"/>
      <w:numFmt w:val="lowerLetter"/>
      <w:start w:val="1"/>
    </w:lvl>
    <w:lvl w:ilvl="1">
      <w:lvlJc w:val="left"/>
      <w:lvlText w:val="(%2)"/>
      <w:numFmt w:val="lowerRoman"/>
      <w:start w:val="1"/>
    </w:lvl>
  </w:abstractNum>
  <w:abstractNum w:abstractNumId="19">
    <w:nsid w:val="419AC24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20">
    <w:nsid w:val="5577F8E1"/>
    <w:multiLevelType w:val="hybridMultilevel"/>
    <w:lvl w:ilvl="0">
      <w:lvlJc w:val="left"/>
      <w:lvlText w:val="(%1)"/>
      <w:numFmt w:val="lowerLetter"/>
      <w:start w:val="2"/>
    </w:lvl>
    <w:lvl w:ilvl="1">
      <w:lvlJc w:val="left"/>
      <w:lvlText w:val="(%2)"/>
      <w:numFmt w:val="lowerLetter"/>
    </w:lvl>
    <w:lvl w:ilvl="2">
      <w:lvlJc w:val="left"/>
      <w:lvlText w:val="(%3)"/>
      <w:numFmt w:val="lowerRoman"/>
      <w:start w:val="1"/>
    </w:lvl>
  </w:abstractNum>
  <w:abstractNum w:abstractNumId="21">
    <w:nsid w:val="440BADFC"/>
    <w:multiLevelType w:val="hybridMultilevel"/>
    <w:lvl w:ilvl="0">
      <w:lvlJc w:val="left"/>
      <w:lvlText w:val="(%1)"/>
      <w:numFmt w:val="lowerLetter"/>
      <w:start w:val="2"/>
    </w:lvl>
    <w:lvl w:ilvl="1">
      <w:lvlJc w:val="left"/>
      <w:lvlText w:val="(%2)"/>
      <w:numFmt w:val="lowerLetter"/>
      <w:start w:val="9"/>
    </w:lvl>
  </w:abstractNum>
  <w:abstractNum w:abstractNumId="22">
    <w:nsid w:val="5072367"/>
    <w:multiLevelType w:val="hybridMultilevel"/>
    <w:lvl w:ilvl="0">
      <w:lvlJc w:val="left"/>
      <w:lvlText w:val="(%1)"/>
      <w:numFmt w:val="lowerRoman"/>
      <w:start w:val="2"/>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2"/>
    </w:lvl>
  </w:abstractNum>
  <w:abstractNum w:abstractNumId="25">
    <w:nsid w:val="7724C67E"/>
    <w:multiLevelType w:val="hybridMultilevel"/>
    <w:lvl w:ilvl="0">
      <w:lvlJc w:val="left"/>
      <w:lvlText w:val="(%1)"/>
      <w:numFmt w:val="lowerLetter"/>
      <w:start w:val="35"/>
    </w:lvl>
  </w:abstractNum>
  <w:abstractNum w:abstractNumId="26">
    <w:nsid w:val="5C482A97"/>
    <w:multiLevelType w:val="hybridMultilevel"/>
    <w:lvl w:ilvl="0">
      <w:lvlJc w:val="left"/>
      <w:lvlText w:val="(%1)"/>
      <w:numFmt w:val="lowerLetter"/>
      <w:start w:val="3"/>
    </w:lvl>
  </w:abstractNum>
  <w:abstractNum w:abstractNumId="27">
    <w:nsid w:val="2463B9EA"/>
    <w:multiLevelType w:val="hybridMultilevel"/>
    <w:lvl w:ilvl="0">
      <w:lvlJc w:val="left"/>
      <w:lvlText w:val="(%1)"/>
      <w:numFmt w:val="lowerLetter"/>
      <w:start w:val="5"/>
    </w:lvl>
  </w:abstractNum>
  <w:abstractNum w:abstractNumId="28">
    <w:nsid w:val="5E884ADC"/>
    <w:multiLevelType w:val="hybridMultilevel"/>
    <w:lvl w:ilvl="0">
      <w:lvlJc w:val="left"/>
      <w:lvlText w:val="(%1)"/>
      <w:numFmt w:val="lowerLetter"/>
      <w:start w:val="7"/>
    </w:lvl>
  </w:abstractNum>
  <w:abstractNum w:abstractNumId="29">
    <w:nsid w:val="51EAD36B"/>
    <w:multiLevelType w:val="hybridMultilevel"/>
    <w:lvl w:ilvl="0">
      <w:lvlJc w:val="left"/>
      <w:lvlText w:val="(%1)"/>
      <w:numFmt w:val="lowerLetter"/>
      <w:start w:val="9"/>
    </w:lvl>
  </w:abstractNum>
  <w:abstractNum w:abstractNumId="30">
    <w:nsid w:val="2D517796"/>
    <w:multiLevelType w:val="hybridMultilevel"/>
    <w:lvl w:ilvl="0">
      <w:lvlJc w:val="left"/>
      <w:lvlText w:val="(%1)"/>
      <w:numFmt w:val="lowerLetter"/>
      <w:start w:val="11"/>
    </w:lvl>
  </w:abstractNum>
  <w:abstractNum w:abstractNumId="31">
    <w:nsid w:val="580BD78F"/>
    <w:multiLevelType w:val="hybridMultilevel"/>
    <w:lvl w:ilvl="0">
      <w:lvlJc w:val="left"/>
      <w:lvlText w:val="(%1)"/>
      <w:numFmt w:val="lowerLetter"/>
      <w:start w:val="14"/>
    </w:lvl>
  </w:abstractNum>
  <w:abstractNum w:abstractNumId="32">
    <w:nsid w:val="153EA438"/>
    <w:multiLevelType w:val="hybridMultilevel"/>
    <w:lvl w:ilvl="0">
      <w:lvlJc w:val="left"/>
      <w:lvlText w:val="(%1)"/>
      <w:numFmt w:val="lowerLetter"/>
      <w:start w:val="18"/>
    </w:lvl>
  </w:abstractNum>
  <w:abstractNum w:abstractNumId="33">
    <w:nsid w:val="3855585C"/>
    <w:multiLevelType w:val="hybridMultilevel"/>
    <w:lvl w:ilvl="0">
      <w:lvlJc w:val="left"/>
      <w:lvlText w:val="(%1)"/>
      <w:numFmt w:val="lowerLetter"/>
      <w:start w:val="21"/>
    </w:lvl>
  </w:abstractNum>
  <w:abstractNum w:abstractNumId="34">
    <w:nsid w:val="70A64E2A"/>
    <w:multiLevelType w:val="hybridMultilevel"/>
    <w:lvl w:ilvl="0">
      <w:lvlJc w:val="left"/>
      <w:lvlText w:val="(%1)"/>
      <w:numFmt w:val="lowerLetter"/>
      <w:start w:val="26"/>
    </w:lvl>
  </w:abstractNum>
  <w:abstractNum w:abstractNumId="35">
    <w:nsid w:val="6A2342EC"/>
    <w:multiLevelType w:val="hybridMultilevel"/>
    <w:lvl w:ilvl="0">
      <w:lvlJc w:val="left"/>
      <w:lvlText w:val="(%1)"/>
      <w:numFmt w:val="lowerLetter"/>
      <w:start w:val="27"/>
    </w:lvl>
  </w:abstractNum>
  <w:abstractNum w:abstractNumId="36">
    <w:nsid w:val="2A487CB0"/>
    <w:multiLevelType w:val="hybridMultilevel"/>
    <w:lvl w:ilvl="0">
      <w:lvlJc w:val="left"/>
      <w:lvlText w:val="(%1)"/>
      <w:numFmt w:val="lowerLetter"/>
      <w:start w:val="35"/>
    </w:lvl>
  </w:abstractNum>
  <w:abstractNum w:abstractNumId="37">
    <w:nsid w:val="1D4ED43B"/>
    <w:multiLevelType w:val="hybridMultilevel"/>
    <w:lvl w:ilvl="0">
      <w:lvlJc w:val="left"/>
      <w:lvlText w:val="(%1)"/>
      <w:numFmt w:val="lowerLetter"/>
      <w:start w:val="25"/>
    </w:lvl>
  </w:abstractNum>
  <w:abstractNum w:abstractNumId="38">
    <w:nsid w:val="725A06FB"/>
    <w:multiLevelType w:val="hybridMultilevel"/>
    <w:lvl w:ilvl="0">
      <w:lvlJc w:val="left"/>
      <w:lvlText w:val="(%1)"/>
      <w:numFmt w:val="lowerLetter"/>
      <w:start w:val="28"/>
    </w:lvl>
  </w:abstractNum>
  <w:abstractNum w:abstractNumId="39">
    <w:nsid w:val="2CD89A32"/>
    <w:multiLevelType w:val="hybridMultilevel"/>
    <w:lvl w:ilvl="0">
      <w:lvlJc w:val="left"/>
      <w:lvlText w:val="(%1)"/>
      <w:numFmt w:val="lowerLetter"/>
      <w:start w:val="33"/>
    </w:lvl>
  </w:abstractNum>
  <w:abstractNum w:abstractNumId="40">
    <w:nsid w:val="57E4CCAF"/>
    <w:multiLevelType w:val="hybridMultilevel"/>
    <w:lvl w:ilvl="0">
      <w:lvlJc w:val="left"/>
      <w:lvlText w:val="(%1)"/>
      <w:numFmt w:val="lowerLetter"/>
      <w:start w:val="37"/>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6"/>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2"/>
    </w:lvl>
  </w:abstractNum>
  <w:abstractNum w:abstractNumId="46">
    <w:nsid w:val="7644A45C"/>
    <w:multiLevelType w:val="hybridMultilevel"/>
    <w:lvl w:ilvl="0">
      <w:lvlJc w:val="left"/>
      <w:lvlText w:val="%1."/>
      <w:numFmt w:val="decimal"/>
      <w:start w:val="3"/>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2023-02-02T07:38:46Z</dcterms:created>
  <dcterms:modified xsi:type="dcterms:W3CDTF">2023-02-02T07:38:46Z</dcterms:modified>
</cp:coreProperties>
</file>