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3" w:name="xdx_90C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val="false"/>
                <w:i w:val="false"/>
                <w:caps w:val="false"/>
                <w:smallCaps w:val="false"/>
                <w:sz w:val="20"/>
              </w:rPr>
              <w:t xml:space="preserve">March 31, </w:t>
            </w:r>
            <w:bookmarkStart w:id="5" w:name="xdx_903_edei--DocumentFiscalYearFocus_c2"/>
            <w:bookmarkEnd w:id="5"/>
            <w:r>
              <w:rPr>
                <w:rFonts w:ascii="Times New Roman;Times;Serif" w:hAnsi="Times New Roman;Times;Serif"/>
                <w:b w:val="false"/>
                <w:i w:val="false"/>
                <w:caps w:val="false"/>
                <w:smallCaps w:val="false"/>
                <w:sz w:val="20"/>
              </w:rPr>
              <w:t>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6" w:name="xdx_90D_edei--DocumentTransitionReport_c"/>
            <w:bookmarkEnd w:id="6"/>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1_edei--EntityFileNumber_c20260101"/>
      <w:bookmarkEnd w:id="7"/>
      <w:r>
        <w:rPr>
          <w:rFonts w:ascii="Times New Roman;Times;Serif" w:hAnsi="Times New Roman;Times;Serif"/>
          <w:b/>
          <w:i w:val="false"/>
          <w:caps w:val="false"/>
          <w:smallCaps w:val="false"/>
          <w:sz w:val="20"/>
        </w:rPr>
        <w:t>001-39868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E_edei--EntityRegistrantName_c2026"/>
      <w:bookmarkEnd w:id="8"/>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095"/>
        <w:gridCol w:w="60"/>
        <w:gridCol w:w="147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TaxIdentificationNum"/>
            <w:bookmarkEnd w:id="10"/>
            <w:r>
              <w:rPr>
                <w:rFonts w:ascii="Times New Roman;Times;Serif" w:hAnsi="Times New Roman;Times;Serif"/>
                <w:b/>
                <w:i w:val="false"/>
                <w:caps w:val="false"/>
                <w:smallCaps w:val="false"/>
                <w:sz w:val="20"/>
              </w:rPr>
              <w:t>86-1791356</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30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0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1" w:name="xdx_902_edei--EntityAddressAddressLine1_"/>
            <w:bookmarkEnd w:id="11"/>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Avenue, </w:t>
            </w:r>
            <w:bookmarkStart w:id="12" w:name="xdx_906_edei--EntityAddressAddressLine2_"/>
            <w:bookmarkEnd w:id="12"/>
            <w:r>
              <w:rPr>
                <w:rFonts w:ascii="Times New Roman;Times;Serif" w:hAnsi="Times New Roman;Times;Serif"/>
                <w:b/>
                <w:i w:val="false"/>
                <w:caps w:val="false"/>
                <w:smallCaps w:val="false"/>
                <w:sz w:val="20"/>
              </w:rPr>
              <w:t>Suite 207</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A_edei--EntityAddressCityOrTown_c2"/>
            <w:bookmarkEnd w:id="13"/>
            <w:r>
              <w:rPr>
                <w:rFonts w:ascii="Times New Roman;Times;Serif" w:hAnsi="Times New Roman;Times;Serif"/>
                <w:b/>
                <w:i w:val="false"/>
                <w:caps w:val="false"/>
                <w:smallCaps w:val="false"/>
                <w:sz w:val="20"/>
              </w:rPr>
              <w:t xml:space="preserve">Miramar, </w:t>
            </w:r>
            <w:bookmarkStart w:id="14" w:name="xdx_90A_edei--EntityAddressStateOrProvin"/>
            <w:bookmarkEnd w:id="14"/>
            <w:r>
              <w:rPr>
                <w:rFonts w:ascii="Times New Roman;Times;Serif" w:hAnsi="Times New Roman;Times;Serif"/>
                <w:b/>
                <w:i w:val="false"/>
                <w:caps w:val="false"/>
                <w:smallCaps w:val="false"/>
                <w:sz w:val="20"/>
              </w:rPr>
              <w:t>FL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6_edei--EntityAddressPostalZipCode"/>
            <w:bookmarkEnd w:id="15"/>
            <w:r>
              <w:rPr>
                <w:rFonts w:ascii="Times New Roman;Times;Serif" w:hAnsi="Times New Roman;Times;Serif"/>
                <w:b/>
                <w:i w:val="false"/>
                <w:caps w:val="false"/>
                <w:smallCaps w:val="false"/>
                <w:sz w:val="20"/>
              </w:rPr>
              <w:t>33027</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6" w:name="xdx_904_edei--CityAreaCode_c20260101__20"/>
      <w:bookmarkEnd w:id="16"/>
      <w:r>
        <w:rPr>
          <w:rFonts w:ascii="Times New Roman;Times;Serif" w:hAnsi="Times New Roman;Times;Serif"/>
          <w:b/>
          <w:i w:val="false"/>
          <w:caps w:val="false"/>
          <w:smallCaps w:val="false"/>
          <w:sz w:val="20"/>
        </w:rPr>
        <w:t xml:space="preserve">(305) </w:t>
      </w:r>
      <w:bookmarkStart w:id="17" w:name="xdx_90E_edei--LocalPhoneNumber_c20260101"/>
      <w:bookmarkEnd w:id="17"/>
      <w:r>
        <w:rPr>
          <w:rFonts w:ascii="Times New Roman;Times;Serif" w:hAnsi="Times New Roman;Times;Serif"/>
          <w:b/>
          <w:i w:val="false"/>
          <w:caps w:val="false"/>
          <w:smallCaps w:val="false"/>
          <w:sz w:val="20"/>
        </w:rPr>
        <w:t>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E_edei--EntityInformationFormerLeg"/>
      <w:bookmarkEnd w:id="18"/>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630" w:type="dxa"/>
        <w:jc w:val="left"/>
        <w:tblInd w:w="0" w:type="dxa"/>
        <w:tblLayout w:type="fixed"/>
        <w:tblCellMar>
          <w:top w:w="0" w:type="dxa"/>
          <w:left w:w="0" w:type="dxa"/>
          <w:bottom w:w="28" w:type="dxa"/>
          <w:right w:w="0" w:type="dxa"/>
        </w:tblCellMar>
      </w:tblPr>
      <w:tblGrid>
        <w:gridCol w:w="4385"/>
        <w:gridCol w:w="60"/>
        <w:gridCol w:w="1535"/>
        <w:gridCol w:w="60"/>
        <w:gridCol w:w="359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Security12bTitle_c20260101"/>
            <w:bookmarkEnd w:id="19"/>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2_edei--TradingSymbol_c20260101__2"/>
            <w:bookmarkEnd w:id="20"/>
            <w:r>
              <w:rPr>
                <w:rFonts w:ascii="Times New Roman;Times;Serif" w:hAnsi="Times New Roman;Times;Serif"/>
                <w:b/>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9_edei--SecurityExchangeName_c2026"/>
            <w:bookmarkEnd w:id="21"/>
            <w:r>
              <w:rPr>
                <w:rFonts w:ascii="Times New Roman;Times;Serif" w:hAnsi="Times New Roman;Times;Serif"/>
                <w:b/>
                <w:i w:val="false"/>
                <w:caps w:val="false"/>
                <w:smallCaps w:val="false"/>
                <w:sz w:val="20"/>
              </w:rPr>
              <w:t>Nasdaq Stock Market LLC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7_edei--EntityCurrentReportingStat"/>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3" w:name="xdx_90C_edei--EntityInteractiveDataCurre"/>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 w:name="xdx_900_edei--EntityFilerCategory_c20260"/>
            <w:bookmarkEnd w:id="24"/>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5" w:name="xdx_908_edei--EntitySmallBusiness_c20260"/>
            <w:bookmarkEnd w:id="25"/>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B_edei--EntityEmergingGrowthCompan"/>
            <w:bookmarkEnd w:id="26"/>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0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8" w:name="xdx_909_edei--EntityShellCompany_dbF_c20"/>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13, 2026, the registrant had </w:t>
      </w:r>
      <w:bookmarkStart w:id="29" w:name="xdx_904_edei--EntityCommonStockSharesOut"/>
      <w:bookmarkEnd w:id="29"/>
      <w:r>
        <w:rPr>
          <w:rFonts w:ascii="Times New Roman;Times;Serif" w:hAnsi="Times New Roman;Times;Serif"/>
          <w:b w:val="false"/>
          <w:i w:val="false"/>
          <w:caps w:val="false"/>
          <w:smallCaps w:val="false"/>
          <w:sz w:val="20"/>
        </w:rPr>
        <w:t xml:space="preserve">4,174,055 shares of Class A common stock and </w:t>
      </w:r>
      <w:bookmarkStart w:id="30" w:name="xdx_90C_edei--EntityCommonStockSharesOut"/>
      <w:bookmarkEnd w:id="30"/>
      <w:r>
        <w:rPr>
          <w:rFonts w:ascii="Times New Roman;Times;Serif" w:hAnsi="Times New Roman;Times;Serif"/>
          <w:b w:val="false"/>
          <w:i w:val="false"/>
          <w:caps w:val="false"/>
          <w:smallCaps w:val="false"/>
          <w:sz w:val="20"/>
        </w:rPr>
        <w:t>no shares of Class B common stock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
        <w:gridCol w:w="9043"/>
        <w:gridCol w:w="60"/>
        <w:gridCol w:w="456"/>
      </w:tblGrid>
      <w:tr>
        <w:trPr/>
        <w:tc>
          <w:tcPr>
            <w:tcW w:w="646" w:type="dxa"/>
            <w:tcBorders/>
            <w:vAlign w:val="center"/>
          </w:tcPr>
          <w:p>
            <w:pPr>
              <w:pStyle w:val="TableContents"/>
              <w:bidi w:val="0"/>
              <w:spacing w:before="0" w:after="283"/>
              <w:jc w:val="both"/>
              <w:rPr>
                <w:caps w:val="false"/>
                <w:smallCaps w:val="false"/>
              </w:rPr>
            </w:pPr>
            <w:r>
              <w:rPr>
                <w:caps w:val="false"/>
                <w:smallCaps w:val="false"/>
              </w:rPr>
              <w:t> </w:t>
            </w:r>
          </w:p>
        </w:tc>
        <w:tc>
          <w:tcPr>
            <w:tcW w:w="90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043"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43"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4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Condensed Consolidated Balance Sheets as of March 31, 2026 and December 31, 2025 (Unaudited)</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FFFF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4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Condensed Consolidated Statements of Comprehensive Income for the Three Months Ended March 31, 2026 and 2025 (Unaudited)</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FFFF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6"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CCEE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FFFF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43"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43"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43"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043" w:type="dxa"/>
            <w:tcBorders/>
            <w:shd w:fill="CCEEFF" w:val="clear"/>
            <w:vAlign w:val="center"/>
          </w:tcPr>
          <w:p>
            <w:pPr>
              <w:pStyle w:val="TableContents"/>
              <w:bidi w:val="0"/>
              <w:spacing w:before="0" w:after="283"/>
              <w:jc w:val="left"/>
              <w:rPr/>
            </w:pPr>
            <w:hyperlink w:anchor="S_004">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43" w:type="dxa"/>
            <w:tcBorders/>
            <w:shd w:fill="FFFFFF" w:val="clear"/>
            <w:vAlign w:val="center"/>
          </w:tcPr>
          <w:p>
            <w:pPr>
              <w:pStyle w:val="TableContents"/>
              <w:bidi w:val="0"/>
              <w:spacing w:before="0" w:after="283"/>
              <w:jc w:val="left"/>
              <w:rPr/>
            </w:pPr>
            <w:hyperlink w:anchor="S_005">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43" w:type="dxa"/>
            <w:tcBorders/>
            <w:shd w:fill="CCEEFF" w:val="clear"/>
            <w:vAlign w:val="center"/>
          </w:tcPr>
          <w:p>
            <w:pPr>
              <w:pStyle w:val="TableContents"/>
              <w:bidi w:val="0"/>
              <w:spacing w:before="0" w:after="283"/>
              <w:jc w:val="left"/>
              <w:rPr/>
            </w:pPr>
            <w:hyperlink w:anchor="S_006">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43" w:type="dxa"/>
            <w:tcBorders/>
            <w:shd w:fill="FFFFFF" w:val="clear"/>
            <w:vAlign w:val="center"/>
          </w:tcPr>
          <w:p>
            <w:pPr>
              <w:pStyle w:val="TableContents"/>
              <w:bidi w:val="0"/>
              <w:spacing w:before="0" w:after="283"/>
              <w:jc w:val="left"/>
              <w:rPr/>
            </w:pPr>
            <w:hyperlink w:anchor="S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43" w:type="dxa"/>
            <w:tcBorders/>
            <w:shd w:fill="CCEEFF" w:val="clear"/>
            <w:vAlign w:val="center"/>
          </w:tcPr>
          <w:p>
            <w:pPr>
              <w:pStyle w:val="TableContents"/>
              <w:bidi w:val="0"/>
              <w:spacing w:before="0" w:after="283"/>
              <w:jc w:val="left"/>
              <w:rPr/>
            </w:pPr>
            <w:hyperlink w:anchor="S_010">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43" w:type="dxa"/>
            <w:tcBorders/>
            <w:shd w:fill="FFFFFF" w:val="clear"/>
            <w:vAlign w:val="center"/>
          </w:tcPr>
          <w:p>
            <w:pPr>
              <w:pStyle w:val="TableContents"/>
              <w:bidi w:val="0"/>
              <w:spacing w:before="0" w:after="283"/>
              <w:jc w:val="left"/>
              <w:rPr/>
            </w:pPr>
            <w:hyperlink w:anchor="S_011">
              <w:r>
                <w:rPr>
                  <w:rStyle w:val="InternetLink"/>
                  <w:rFonts w:ascii="Times New Roman;Times;Serif" w:hAnsi="Times New Roman;Times;Serif"/>
                  <w:b w:val="false"/>
                  <w:i w:val="false"/>
                  <w:caps w:val="false"/>
                  <w:smallCaps w:val="false"/>
                  <w:sz w:val="20"/>
                </w:rPr>
                <w:t>Exhibits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89" w:type="dxa"/>
            <w:gridSpan w:val="2"/>
            <w:tcBorders/>
            <w:shd w:fill="CCEEFF" w:val="clear"/>
            <w:vAlign w:val="center"/>
          </w:tcPr>
          <w:p>
            <w:pPr>
              <w:pStyle w:val="TableContents"/>
              <w:bidi w:val="0"/>
              <w:spacing w:before="0" w:after="283"/>
              <w:jc w:val="both"/>
              <w:rPr/>
            </w:pPr>
            <w:hyperlink w:anchor="S_012">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“Report”) of Motorsport Games Inc. (the “Company,” “Motorsport Games,” “we,” “us” or “our”) contains certain statements, which are not historical facts and are “forward-looking statements” within the meaning of federal securities laws. These forward-looking statements are subject to certain risks, trends and uncertainties. Forward-looking statements give our current expectations and projections relating to our financial condition, results of operations, plans, objectives, strategies, future performance and business. You can identify forward-looking statements by the fact that they do not relate strictly to historical or current facts. We use words, such as “could,” “would,” “may,” “might,” “will,” “expect,” “likely,” “believe,” “continue,” “anticipate,” “estimate,” “intend,” “plan,” “project” and other similar expressions to identify some forward-looking statements, but not all forward-looking statements include these words. For example, forward-looking statements include, but are not limited to, statements we make relating to: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corporate purpose to make the thrill of motorsports accessible to everyone by creating the highest quality, most sophisticated and most innovative experiences for racers, gamers and fans of all 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 planned products or offerings, including the anticipated timing of any new product or offering launches, such as our current plans to organize the 2026/27 Le Mans Virtual Series to commence this year, as well as the possibility of further adjustments to our product roadmap due to the continuing impact of our liquidity position;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strive to become a leader in organizing and facilitating esports tournaments, competitions, and events for our licensed racing games as well as on behalf of third-party racing game developers and publishers;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continue exploring opportunities to expand the recurring portion of our esports segment outside of Le Mans;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connecting virtual racing gamers and esports fans on a digital entertainment and social platform represents the greatest opportunity to enhance the way that people learn, watch, play, and experience racing video games and racing esports;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the growing importance and business viability of esports, especially within the racing and motorsport genres;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our esports business has the potential to generate incremental revenues through the further sale of media rights to our esports events and competitions, as well as, among other things, merchandising, if the esports audience pattern continues to grow;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drive ongoing engagement and incremental revenue from recurrent consumer spending on our titles through in-game purchases and extra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continue to derive significant revenues from sales of our products to a very limited number of distribution partners;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continue to look for opportunities to expand the recurring portion of our business, including through the planned introduction of new annualized sports franchise games, such as with Le Mans;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intended use of proceeds from the sales of our equity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statements and assumptions relating to the impairment of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intentions with respect to our remediation efforts to address the material weaknesses in our internal control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the outcome of all pending legal proceedings in the aggregate is not reasonably likely to have a material adverse effect on our business, prospects, results of operations, financial condition and/or cash flows, except as otherwise disclosed in this Report, and that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our beliefs regarding the merit of any plaintiff’s allegations and the impact of any claims and litigation that we are subject to; and our plans and intentions with respect to defending our position in any legal proceeding;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 to not declare dividends in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net operating loss carryforwards;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impact of implementing management strategies, adopting new accounting standards, potential acquisitions and industry trends;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intentions to maintain compliance with the listing requirements of The Nasdaq Stock Market LLC (“Nasdaq”), including our plan to implement equity financing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that our current development operations will not have significant exposure to changes in circumstances arising from the Ukraine-Russia and Middle East conflicts.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based on assumptions that we have made in light of our industry experience and our perceptions of historical trends, current conditions, expected future developments and other factors that we believe are appropriate under the circumstances. As you read and consider this Report, you should understand that these statements are not guarantees of performance or results. They involve risks, uncertainties (many of which are beyond our control) and assumptions that are difficult to predict.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Important factors that could cause our actual results to differ materially from those projected in any forward-looking statements are discussed in “Risk Factors” in Part I, Item 1A of our Annual Report on Form 10-K for the year ended December 31, 2025 (the “2025 Form 10-K”) and in “Risk Factors” in Part II, Item 1A of this Report, as updated in our subsequent filings with the Securities and Exchange Commission (the “SEC”). In addition to factors that may be described in our filings with the SEC, including this Report, the following factors, among others, could cause our actual results to differ materially from those expressed in any forward-looking statements made by 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and/or delays in accessing available liquidity, and other unanticipated difficulties in obtaining additional capital to meet our financial obligations, including, without limitation, difficulties in securing funding that is on commercially acceptable terms to us or at all, such as our inability to complete in whole or in part any potential debt and/or equity financing transactions or similar transactions, any inability to achieve cost reductions, including, without limitation, those which we expect to achieve through any cost reduction and restructuring initiatives, as well as any inability to consummate additional strategic alternatives for our business, including, but not limited to, the sale or licensing of our assets, and/or less than expected benefits resulting from any such strategic alternative; difficulties, delays or our inability to efficiently manage our cash and working capital; higher than expected operating expenses; adverse impacts to our liquidity position resulting from the higher interest rate and higher inflationary environment; lower than expected operating revenues, cash on hand and/or funds available from anticipated borrowings or funds expected to be generated from cost reductions resulting from the implementation of cost control initiatives, such as through any cost reduction and restructuring initiatives; and/or less than anticipated cash generated by our operations; and/or adverse effects on our liquidity resulting from changes in economic conditions (such as continued volatility in the financial markets, whether attributable to a pandemic, the ongoing wars between Russia and Ukraine and between Israel and Hamas or otherwise; significantly higher rates of inflation, significantly higher interest rates and higher labor costs; the impact of higher energy prices on consumer purchasing behavior, monetary conditions and foreign currency fluctuations, tariffs, foreign currency controls and/or government-mandated pricing controls, as well as in trade, monetary, fiscal and tax policies), tariffs, export controls, political conditions (such as military actions and terrorist activities) and pandemics and natural disasters; and/or the unavailability of funds from (A) delaying the implementation of or revising certain aspects of our business strategy; (B) reducing or delaying the development and launch of new products and events; (C) reducing or delaying capital spending, product development spending and marketing and promotional spending; (D) selling assets or operations; and/or (E) reducing other discretionary spending;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or less than expected results in achieving our growth plans, objectives and expectations, such as due to a slower than anticipated economic recovery and/or our inability, in whole or in part, to continue to execute our business strategies and plans, due to less than anticipated customer acceptance of our new game titles, us experiencing difficulties or the inability to launch our games as planned, less than anticipated performance of the games impacting customer acceptance and sales and/or greater than anticipated costs and expenses to develop and launch our games, including, without limitation, higher than expected labor costs;</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8"/>
        <w:gridCol w:w="971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in or unanticipated events that may impact the timing and scope of new product launches, due to difficulties and/or delays related to our transition from using development staff in Russia to using development staff in other countries and/or difficulties and/or delays arising out of any pandemic;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expected benefits from implementing our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significant increases in energy and gas prices which have been increasing since early in 2020), a higher interest rate environment, tax increases impacting consumer discretionary spending and or quantitative easing that results in higher interest rates that negatively impact consumers’ discretionary spending, or adverse developments relating to the ongoing war between Russia and Ukraine and conflicts in the Middle East;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(or inability) to maintain existing, and to secure additional, licenses and other agreements with various racing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successfully manage and integrate any joint ventures, acquisitions of businesses, solutions or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operating costs, transaction costs and actual or contingent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attract and retain qualified employees and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of increased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behavior, including as a result of general economic factors, such as increased inflation, recessionary factors, higher energy prices and higher interest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delays adversely impacting our ability to protect our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local, industry and general business and economic conditions;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adverse effects on our business, prospects, results of operations, financial condition, cash flows and/or liquidity as a result of unexpected developments with respect to our legal proceedings;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delays or our inability to successfully complete any cost reduction and restructuring initiatives, which could reduce the benefits realized from such activities;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than anticipated restructuring charges and/or payments and/or changes in the expected timing of such charges and/or payments as a result of, among other things, legal requirements in applicable foreign jurisdictions; and/or less than anticipated annualized cost reductions from our plans and/or changes in the timing of realizing such cost reductions, such as due to less than anticipated liquidity to fund such activities and/or more than expected costs to achieve the expected cost reductions;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delays, less than expected results or our inability to successfully implement any strategic alternative or potential option for our business, including, but not limited to, the sale or licensing of certain of our assets, which could result in, among other things, less than expected financial benefits from such 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caps w:val="false"/>
                <w:smallCaps w:val="false"/>
              </w:rPr>
            </w:pPr>
            <w:r>
              <w:rPr>
                <w:caps w:val="false"/>
                <w:smallCaps w:val="false"/>
              </w:rPr>
              <w:t> </w:t>
            </w:r>
          </w:p>
        </w:tc>
        <w:tc>
          <w:tcPr>
            <w:tcW w:w="97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and/or or unanticipated developments adversely impacting our ability to maintain compliance with the Nasdaq’s listing requirements, such as our inability to implement equity financing transactions.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other risks and uncertainties described from time to time in the reports that we file with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Report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h_001"/>
      <w:bookmarkEnd w:id="31"/>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sh_002"/>
      <w:bookmarkEnd w:id="32"/>
      <w:r>
        <w:rPr>
          <w:rFonts w:ascii="Times New Roman;Times;Serif" w:hAnsi="Times New Roman;Times;Serif"/>
          <w:b/>
          <w:i w:val="false"/>
          <w:caps w:val="false"/>
          <w:smallCaps w:val="false"/>
          <w:sz w:val="20"/>
        </w:rPr>
        <w:t>Item 1.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h_003"/>
      <w:bookmarkEnd w:id="33"/>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C_111_zBkV617cOHRd"/>
      <w:bookmarkStart w:id="35" w:name="xdx_30C_111_zBkV617cOHRd"/>
      <w:bookmarkEnd w:id="35"/>
    </w:p>
    <w:tbl>
      <w:tblPr>
        <w:tblW w:w="10205" w:type="dxa"/>
        <w:jc w:val="left"/>
        <w:tblInd w:w="0" w:type="dxa"/>
        <w:tblLayout w:type="fixed"/>
        <w:tblCellMar>
          <w:top w:w="0" w:type="dxa"/>
          <w:left w:w="0" w:type="dxa"/>
          <w:bottom w:w="0" w:type="dxa"/>
          <w:right w:w="0" w:type="dxa"/>
        </w:tblCellMar>
      </w:tblPr>
      <w:tblGrid>
        <w:gridCol w:w="6890"/>
        <w:gridCol w:w="60"/>
        <w:gridCol w:w="151"/>
        <w:gridCol w:w="1276"/>
        <w:gridCol w:w="95"/>
        <w:gridCol w:w="60"/>
        <w:gridCol w:w="166"/>
        <w:gridCol w:w="1394"/>
        <w:gridCol w:w="113"/>
      </w:tblGrid>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3_20260331_zOkUqY9KfhQ8"/>
            <w:bookmarkEnd w:id="36"/>
          </w:p>
        </w:tc>
        <w:tc>
          <w:tcPr>
            <w:tcW w:w="14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 w:name="xdx_490_20251231_zYNvXa70L1Qd"/>
            <w:bookmarkEnd w:id="37"/>
          </w:p>
        </w:tc>
        <w:tc>
          <w:tcPr>
            <w:tcW w:w="1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left"/>
              <w:rPr/>
            </w:pPr>
            <w:r>
              <w:rPr/>
              <w:t> </w:t>
            </w:r>
            <w:bookmarkStart w:id="38" w:name="xdx_40E_eus-gaap--AssetsAbstract_iB"/>
            <w:bookmarkEnd w:id="38"/>
          </w:p>
        </w:tc>
      </w:tr>
      <w:tr>
        <w:trPr/>
        <w:tc>
          <w:tcPr>
            <w:tcW w:w="689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9" w:name="xdx_402_eus-gaap--AssetsCurrentAbstract_"/>
            <w:bookmarkEnd w:id="39"/>
          </w:p>
        </w:tc>
      </w:tr>
      <w:tr>
        <w:trPr/>
        <w:tc>
          <w:tcPr>
            <w:tcW w:w="689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0" w:name="xdx_406_eus-gaap--CashAndCashEquivalents"/>
            <w:bookmarkEnd w:id="40"/>
          </w:p>
        </w:tc>
      </w:tr>
      <w:tr>
        <w:trPr/>
        <w:tc>
          <w:tcPr>
            <w:tcW w:w="689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5,859,299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4,993,390</w:t>
            </w:r>
          </w:p>
        </w:tc>
        <w:tc>
          <w:tcPr>
            <w:tcW w:w="113" w:type="dxa"/>
            <w:tcBorders/>
            <w:shd w:fill="FFFFFF" w:val="clear"/>
            <w:vAlign w:val="center"/>
          </w:tcPr>
          <w:p>
            <w:pPr>
              <w:pStyle w:val="TableContents"/>
              <w:bidi w:val="0"/>
              <w:spacing w:before="0" w:after="283"/>
              <w:jc w:val="left"/>
              <w:rPr/>
            </w:pPr>
            <w:r>
              <w:rPr/>
              <w:t> </w:t>
            </w:r>
            <w:bookmarkStart w:id="41" w:name="xdx_403_eus-gaap--AccountsReceivableNet_"/>
            <w:bookmarkEnd w:id="41"/>
          </w:p>
        </w:tc>
      </w:tr>
      <w:tr>
        <w:trPr/>
        <w:tc>
          <w:tcPr>
            <w:tcW w:w="68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2,266,502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2,243,619</w:t>
            </w:r>
          </w:p>
        </w:tc>
        <w:tc>
          <w:tcPr>
            <w:tcW w:w="113" w:type="dxa"/>
            <w:tcBorders/>
            <w:shd w:fill="CCEEFF" w:val="clear"/>
            <w:vAlign w:val="center"/>
          </w:tcPr>
          <w:p>
            <w:pPr>
              <w:pStyle w:val="TableContents"/>
              <w:bidi w:val="0"/>
              <w:spacing w:before="0" w:after="283"/>
              <w:jc w:val="left"/>
              <w:rPr/>
            </w:pPr>
            <w:r>
              <w:rPr/>
              <w:t> </w:t>
            </w:r>
            <w:bookmarkStart w:id="42" w:name="xdx_40B_eus-gaap--PrepaidExpenseAndOther"/>
            <w:bookmarkEnd w:id="42"/>
          </w:p>
        </w:tc>
      </w:tr>
      <w:tr>
        <w:trPr/>
        <w:tc>
          <w:tcPr>
            <w:tcW w:w="689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938,588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350,487</w:t>
            </w:r>
          </w:p>
        </w:tc>
        <w:tc>
          <w:tcPr>
            <w:tcW w:w="113" w:type="dxa"/>
            <w:tcBorders/>
            <w:shd w:fill="FFFFFF" w:val="clear"/>
            <w:vAlign w:val="center"/>
          </w:tcPr>
          <w:p>
            <w:pPr>
              <w:pStyle w:val="TableContents"/>
              <w:bidi w:val="0"/>
              <w:spacing w:before="0" w:after="283"/>
              <w:jc w:val="left"/>
              <w:rPr/>
            </w:pPr>
            <w:r>
              <w:rPr/>
              <w:t> </w:t>
            </w:r>
            <w:bookmarkStart w:id="43" w:name="xdx_402_eus-gaap--AssetsCurrent_i02TI_pp"/>
            <w:bookmarkEnd w:id="43"/>
          </w:p>
        </w:tc>
      </w:tr>
      <w:tr>
        <w:trPr/>
        <w:tc>
          <w:tcPr>
            <w:tcW w:w="689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9,064,389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7,587,496</w:t>
            </w:r>
          </w:p>
        </w:tc>
        <w:tc>
          <w:tcPr>
            <w:tcW w:w="113" w:type="dxa"/>
            <w:tcBorders/>
            <w:shd w:fill="CCEEFF" w:val="clear"/>
            <w:vAlign w:val="center"/>
          </w:tcPr>
          <w:p>
            <w:pPr>
              <w:pStyle w:val="TableContents"/>
              <w:bidi w:val="0"/>
              <w:spacing w:before="0" w:after="283"/>
              <w:jc w:val="left"/>
              <w:rPr/>
            </w:pPr>
            <w:r>
              <w:rPr/>
              <w:t> </w:t>
            </w:r>
            <w:bookmarkStart w:id="44" w:name="xdx_406_eus-gaap--PropertyPlantAndEquipm"/>
            <w:bookmarkEnd w:id="44"/>
          </w:p>
        </w:tc>
      </w:tr>
      <w:tr>
        <w:trPr/>
        <w:tc>
          <w:tcPr>
            <w:tcW w:w="689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47,285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32,853</w:t>
            </w:r>
          </w:p>
        </w:tc>
        <w:tc>
          <w:tcPr>
            <w:tcW w:w="113" w:type="dxa"/>
            <w:tcBorders/>
            <w:shd w:fill="FFFFFF" w:val="clear"/>
            <w:vAlign w:val="center"/>
          </w:tcPr>
          <w:p>
            <w:pPr>
              <w:pStyle w:val="TableContents"/>
              <w:bidi w:val="0"/>
              <w:spacing w:before="0" w:after="283"/>
              <w:jc w:val="left"/>
              <w:rPr/>
            </w:pPr>
            <w:r>
              <w:rPr/>
              <w:t> </w:t>
            </w:r>
            <w:bookmarkStart w:id="45" w:name="xdx_40F_eus-gaap--OperatingLeaseRightOfU"/>
            <w:bookmarkEnd w:id="45"/>
          </w:p>
        </w:tc>
      </w:tr>
      <w:tr>
        <w:trPr/>
        <w:tc>
          <w:tcPr>
            <w:tcW w:w="6890" w:type="dxa"/>
            <w:tcBorders/>
            <w:shd w:fill="CCEEFF" w:val="clear"/>
            <w:vAlign w:val="center"/>
          </w:tcPr>
          <w:p>
            <w:pPr>
              <w:pStyle w:val="TableContents"/>
              <w:bidi w:val="0"/>
              <w:spacing w:before="0" w:after="283"/>
              <w:jc w:val="left"/>
              <w:rPr/>
            </w:pPr>
            <w:r>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22,710</w:t>
            </w:r>
          </w:p>
        </w:tc>
        <w:tc>
          <w:tcPr>
            <w:tcW w:w="113" w:type="dxa"/>
            <w:tcBorders/>
            <w:shd w:fill="CCEEFF" w:val="clear"/>
            <w:vAlign w:val="center"/>
          </w:tcPr>
          <w:p>
            <w:pPr>
              <w:pStyle w:val="TableContents"/>
              <w:bidi w:val="0"/>
              <w:spacing w:before="0" w:after="283"/>
              <w:jc w:val="left"/>
              <w:rPr/>
            </w:pPr>
            <w:r>
              <w:rPr/>
              <w:t> </w:t>
            </w:r>
            <w:bookmarkStart w:id="46" w:name="xdx_400_ecustom--DeferredTaxAssetNonCurr"/>
            <w:bookmarkEnd w:id="46"/>
          </w:p>
        </w:tc>
      </w:tr>
      <w:tr>
        <w:trPr/>
        <w:tc>
          <w:tcPr>
            <w:tcW w:w="6890"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492,934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492,934</w:t>
            </w:r>
          </w:p>
        </w:tc>
        <w:tc>
          <w:tcPr>
            <w:tcW w:w="113" w:type="dxa"/>
            <w:tcBorders/>
            <w:shd w:fill="FFFFFF" w:val="clear"/>
            <w:vAlign w:val="center"/>
          </w:tcPr>
          <w:p>
            <w:pPr>
              <w:pStyle w:val="TableContents"/>
              <w:bidi w:val="0"/>
              <w:spacing w:before="0" w:after="283"/>
              <w:jc w:val="left"/>
              <w:rPr/>
            </w:pPr>
            <w:r>
              <w:rPr/>
              <w:t> </w:t>
            </w:r>
            <w:bookmarkStart w:id="47" w:name="xdx_403_eus-gaap--OtherAssetsNoncurrent_"/>
            <w:bookmarkEnd w:id="47"/>
          </w:p>
        </w:tc>
      </w:tr>
      <w:tr>
        <w:trPr/>
        <w:tc>
          <w:tcPr>
            <w:tcW w:w="689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126,563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60,530</w:t>
            </w:r>
          </w:p>
        </w:tc>
        <w:tc>
          <w:tcPr>
            <w:tcW w:w="113" w:type="dxa"/>
            <w:tcBorders/>
            <w:shd w:fill="CCEEFF" w:val="clear"/>
            <w:vAlign w:val="center"/>
          </w:tcPr>
          <w:p>
            <w:pPr>
              <w:pStyle w:val="TableContents"/>
              <w:bidi w:val="0"/>
              <w:spacing w:before="0" w:after="283"/>
              <w:jc w:val="left"/>
              <w:rPr/>
            </w:pPr>
            <w:r>
              <w:rPr/>
              <w:t> </w:t>
            </w:r>
            <w:bookmarkStart w:id="48" w:name="xdx_409_eus-gaap--IntangibleAssetsNetExc"/>
            <w:bookmarkEnd w:id="48"/>
          </w:p>
        </w:tc>
      </w:tr>
      <w:tr>
        <w:trPr/>
        <w:tc>
          <w:tcPr>
            <w:tcW w:w="689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4,134,781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3,771,543</w:t>
            </w:r>
          </w:p>
        </w:tc>
        <w:tc>
          <w:tcPr>
            <w:tcW w:w="113" w:type="dxa"/>
            <w:tcBorders/>
            <w:shd w:fill="FFFFFF" w:val="clear"/>
            <w:vAlign w:val="center"/>
          </w:tcPr>
          <w:p>
            <w:pPr>
              <w:pStyle w:val="TableContents"/>
              <w:bidi w:val="0"/>
              <w:spacing w:before="0" w:after="283"/>
              <w:jc w:val="left"/>
              <w:rPr/>
            </w:pPr>
            <w:r>
              <w:rPr/>
              <w:t> </w:t>
            </w:r>
            <w:bookmarkStart w:id="49" w:name="xdx_409_eus-gaap--Assets_i01TI_pp0p0_mtA"/>
            <w:bookmarkEnd w:id="49"/>
          </w:p>
        </w:tc>
      </w:tr>
      <w:tr>
        <w:trPr/>
        <w:tc>
          <w:tcPr>
            <w:tcW w:w="689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13,880,041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4" w:type="dxa"/>
            <w:tcBorders>
              <w:bottom w:val="double" w:sz="6" w:space="0" w:color="000000"/>
            </w:tcBorders>
            <w:shd w:fill="CCEEFF" w:val="clear"/>
            <w:tcMar>
              <w:bottom w:w="28" w:type="dxa"/>
            </w:tcMar>
            <w:vAlign w:val="center"/>
          </w:tcPr>
          <w:p>
            <w:pPr>
              <w:pStyle w:val="TableContents"/>
              <w:bidi w:val="0"/>
              <w:spacing w:before="0" w:after="283"/>
              <w:jc w:val="right"/>
              <w:rPr/>
            </w:pPr>
            <w:r>
              <w:rPr/>
              <w:t>11,968,066</w:t>
            </w:r>
          </w:p>
        </w:tc>
        <w:tc>
          <w:tcPr>
            <w:tcW w:w="113"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0" w:name="xdx_40C_eus-gaap--LiabilitiesAndStockhol"/>
            <w:bookmarkEnd w:id="50"/>
          </w:p>
        </w:tc>
      </w:tr>
      <w:tr>
        <w:trPr/>
        <w:tc>
          <w:tcPr>
            <w:tcW w:w="6890"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1" w:name="xdx_409_eus-gaap--LiabilitiesCurrentAbst"/>
            <w:bookmarkEnd w:id="51"/>
          </w:p>
        </w:tc>
      </w:tr>
      <w:tr>
        <w:trPr/>
        <w:tc>
          <w:tcPr>
            <w:tcW w:w="689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2" w:name="xdx_408_eus-gaap--AccountsPayableCurrent"/>
            <w:bookmarkEnd w:id="52"/>
          </w:p>
        </w:tc>
      </w:tr>
      <w:tr>
        <w:trPr/>
        <w:tc>
          <w:tcPr>
            <w:tcW w:w="68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1,182,005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394" w:type="dxa"/>
            <w:tcBorders/>
            <w:shd w:fill="FFFFFF" w:val="clear"/>
            <w:vAlign w:val="center"/>
          </w:tcPr>
          <w:p>
            <w:pPr>
              <w:pStyle w:val="TableContents"/>
              <w:bidi w:val="0"/>
              <w:spacing w:before="0" w:after="283"/>
              <w:jc w:val="right"/>
              <w:rPr/>
            </w:pPr>
            <w:r>
              <w:rPr/>
              <w:t>918,280</w:t>
            </w:r>
          </w:p>
        </w:tc>
        <w:tc>
          <w:tcPr>
            <w:tcW w:w="113" w:type="dxa"/>
            <w:tcBorders/>
            <w:shd w:fill="FFFFFF" w:val="clear"/>
            <w:vAlign w:val="center"/>
          </w:tcPr>
          <w:p>
            <w:pPr>
              <w:pStyle w:val="TableContents"/>
              <w:bidi w:val="0"/>
              <w:spacing w:before="0" w:after="283"/>
              <w:jc w:val="left"/>
              <w:rPr/>
            </w:pPr>
            <w:r>
              <w:rPr/>
              <w:t> </w:t>
            </w:r>
            <w:bookmarkStart w:id="53" w:name="xdx_409_eus-gaap--AccruedLiabilitiesAndO"/>
            <w:bookmarkEnd w:id="53"/>
          </w:p>
        </w:tc>
      </w:tr>
      <w:tr>
        <w:trPr/>
        <w:tc>
          <w:tcPr>
            <w:tcW w:w="68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1,461,734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1,293,206</w:t>
            </w:r>
          </w:p>
        </w:tc>
        <w:tc>
          <w:tcPr>
            <w:tcW w:w="113" w:type="dxa"/>
            <w:tcBorders/>
            <w:shd w:fill="CCEEFF" w:val="clear"/>
            <w:vAlign w:val="center"/>
          </w:tcPr>
          <w:p>
            <w:pPr>
              <w:pStyle w:val="TableContents"/>
              <w:bidi w:val="0"/>
              <w:spacing w:before="0" w:after="283"/>
              <w:jc w:val="left"/>
              <w:rPr/>
            </w:pPr>
            <w:r>
              <w:rPr/>
              <w:t> </w:t>
            </w:r>
            <w:bookmarkStart w:id="54" w:name="xdx_408_eus-gaap--DeferredRevenue_i02I_p"/>
            <w:bookmarkEnd w:id="54"/>
          </w:p>
        </w:tc>
      </w:tr>
      <w:tr>
        <w:trPr/>
        <w:tc>
          <w:tcPr>
            <w:tcW w:w="689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899,232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1,133,382</w:t>
            </w:r>
          </w:p>
        </w:tc>
        <w:tc>
          <w:tcPr>
            <w:tcW w:w="113" w:type="dxa"/>
            <w:tcBorders/>
            <w:shd w:fill="FFFFFF" w:val="clear"/>
            <w:vAlign w:val="center"/>
          </w:tcPr>
          <w:p>
            <w:pPr>
              <w:pStyle w:val="TableContents"/>
              <w:bidi w:val="0"/>
              <w:spacing w:before="0" w:after="283"/>
              <w:jc w:val="left"/>
              <w:rPr/>
            </w:pPr>
            <w:r>
              <w:rPr/>
              <w:t> </w:t>
            </w:r>
            <w:bookmarkStart w:id="55" w:name="xdx_409_eus-gaap--OtherLiabilitiesCurren"/>
            <w:bookmarkEnd w:id="55"/>
          </w:p>
        </w:tc>
      </w:tr>
      <w:tr>
        <w:trPr/>
        <w:tc>
          <w:tcPr>
            <w:tcW w:w="6890"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3,371</w:t>
            </w:r>
          </w:p>
        </w:tc>
        <w:tc>
          <w:tcPr>
            <w:tcW w:w="113" w:type="dxa"/>
            <w:tcBorders/>
            <w:shd w:fill="CCEEFF" w:val="clear"/>
            <w:vAlign w:val="center"/>
          </w:tcPr>
          <w:p>
            <w:pPr>
              <w:pStyle w:val="TableContents"/>
              <w:bidi w:val="0"/>
              <w:spacing w:before="0" w:after="283"/>
              <w:jc w:val="left"/>
              <w:rPr/>
            </w:pPr>
            <w:r>
              <w:rPr/>
              <w:t> </w:t>
            </w:r>
            <w:bookmarkStart w:id="56" w:name="xdx_404_eus-gaap--NotesPayableCurrent_i0"/>
            <w:bookmarkEnd w:id="56"/>
          </w:p>
        </w:tc>
      </w:tr>
      <w:tr>
        <w:trPr/>
        <w:tc>
          <w:tcPr>
            <w:tcW w:w="6890" w:type="dxa"/>
            <w:tcBorders/>
            <w:shd w:fill="FFFFFF" w:val="clear"/>
            <w:vAlign w:val="center"/>
          </w:tcPr>
          <w:p>
            <w:pPr>
              <w:pStyle w:val="TableContents"/>
              <w:bidi w:val="0"/>
              <w:spacing w:before="0" w:after="283"/>
              <w:jc w:val="left"/>
              <w:rPr/>
            </w:pPr>
            <w:r>
              <w:rPr/>
              <w:t>Note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353,687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7" w:name="xdx_40C_eus-gaap--OperatingLeaseLiabilit"/>
            <w:bookmarkEnd w:id="57"/>
          </w:p>
        </w:tc>
      </w:tr>
      <w:tr>
        <w:trPr/>
        <w:tc>
          <w:tcPr>
            <w:tcW w:w="689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17,575</w:t>
            </w:r>
          </w:p>
        </w:tc>
        <w:tc>
          <w:tcPr>
            <w:tcW w:w="113" w:type="dxa"/>
            <w:tcBorders/>
            <w:shd w:fill="CCEEFF" w:val="clear"/>
            <w:vAlign w:val="center"/>
          </w:tcPr>
          <w:p>
            <w:pPr>
              <w:pStyle w:val="TableContents"/>
              <w:bidi w:val="0"/>
              <w:spacing w:before="0" w:after="283"/>
              <w:jc w:val="left"/>
              <w:rPr/>
            </w:pPr>
            <w:r>
              <w:rPr/>
              <w:t> </w:t>
            </w:r>
            <w:bookmarkStart w:id="58" w:name="xdx_406_eus-gaap--LiabilitiesCurrent_i02"/>
            <w:bookmarkEnd w:id="58"/>
          </w:p>
        </w:tc>
      </w:tr>
      <w:tr>
        <w:trPr/>
        <w:tc>
          <w:tcPr>
            <w:tcW w:w="689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3,908,863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3,365,814</w:t>
            </w:r>
          </w:p>
        </w:tc>
        <w:tc>
          <w:tcPr>
            <w:tcW w:w="113" w:type="dxa"/>
            <w:tcBorders/>
            <w:shd w:fill="FFFFFF" w:val="clear"/>
            <w:vAlign w:val="center"/>
          </w:tcPr>
          <w:p>
            <w:pPr>
              <w:pStyle w:val="TableContents"/>
              <w:bidi w:val="0"/>
              <w:spacing w:before="0" w:after="283"/>
              <w:jc w:val="left"/>
              <w:rPr/>
            </w:pPr>
            <w:r>
              <w:rPr/>
              <w:t> </w:t>
            </w:r>
            <w:bookmarkStart w:id="59" w:name="xdx_40E_ecustom--DeferredTaxLiabilityNon"/>
            <w:bookmarkEnd w:id="59"/>
          </w:p>
        </w:tc>
      </w:tr>
      <w:tr>
        <w:trPr/>
        <w:tc>
          <w:tcPr>
            <w:tcW w:w="689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222,833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222,833</w:t>
            </w:r>
          </w:p>
        </w:tc>
        <w:tc>
          <w:tcPr>
            <w:tcW w:w="113" w:type="dxa"/>
            <w:tcBorders/>
            <w:shd w:fill="CCEEFF" w:val="clear"/>
            <w:vAlign w:val="center"/>
          </w:tcPr>
          <w:p>
            <w:pPr>
              <w:pStyle w:val="TableContents"/>
              <w:bidi w:val="0"/>
              <w:spacing w:before="0" w:after="283"/>
              <w:jc w:val="left"/>
              <w:rPr/>
            </w:pPr>
            <w:r>
              <w:rPr/>
              <w:t> </w:t>
            </w:r>
            <w:bookmarkStart w:id="60" w:name="xdx_40A_ecustom--WarrantsAndStockOptionL"/>
            <w:bookmarkEnd w:id="60"/>
          </w:p>
        </w:tc>
      </w:tr>
      <w:tr>
        <w:trPr/>
        <w:tc>
          <w:tcPr>
            <w:tcW w:w="6890" w:type="dxa"/>
            <w:tcBorders/>
            <w:shd w:fill="FFFFFF" w:val="clear"/>
            <w:vAlign w:val="center"/>
          </w:tcPr>
          <w:p>
            <w:pPr>
              <w:pStyle w:val="TableContents"/>
              <w:bidi w:val="0"/>
              <w:spacing w:before="0" w:after="283"/>
              <w:jc w:val="left"/>
              <w:rPr/>
            </w:pPr>
            <w:r>
              <w:rPr/>
              <w:t>Warrants and stock option liability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1,191,521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798,188</w:t>
            </w:r>
          </w:p>
        </w:tc>
        <w:tc>
          <w:tcPr>
            <w:tcW w:w="113" w:type="dxa"/>
            <w:tcBorders/>
            <w:shd w:fill="FFFFFF" w:val="clear"/>
            <w:vAlign w:val="center"/>
          </w:tcPr>
          <w:p>
            <w:pPr>
              <w:pStyle w:val="TableContents"/>
              <w:bidi w:val="0"/>
              <w:spacing w:before="0" w:after="283"/>
              <w:jc w:val="left"/>
              <w:rPr/>
            </w:pPr>
            <w:r>
              <w:rPr/>
              <w:t> </w:t>
            </w:r>
            <w:bookmarkStart w:id="61" w:name="xdx_40C_eus-gaap--Liabilities_i01TI_pp0p"/>
            <w:bookmarkEnd w:id="61"/>
          </w:p>
        </w:tc>
      </w:tr>
      <w:tr>
        <w:trPr/>
        <w:tc>
          <w:tcPr>
            <w:tcW w:w="689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5,323,217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4,386,835</w:t>
            </w:r>
          </w:p>
        </w:tc>
        <w:tc>
          <w:tcPr>
            <w:tcW w:w="113"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3_eus-gaap--CommitmentsAndContinge"/>
            <w:bookmarkEnd w:id="62"/>
          </w:p>
        </w:tc>
      </w:tr>
      <w:tr>
        <w:trPr/>
        <w:tc>
          <w:tcPr>
            <w:tcW w:w="6890"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3" w:name="xdx_402_eus-gaap--StockholdersEquityAbst"/>
            <w:bookmarkEnd w:id="63"/>
          </w:p>
        </w:tc>
      </w:tr>
      <w:tr>
        <w:trPr/>
        <w:tc>
          <w:tcPr>
            <w:tcW w:w="6890"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4" w:name="xdx_406_eus-gaap--PreferredStockValue_i0"/>
            <w:bookmarkEnd w:id="64"/>
          </w:p>
        </w:tc>
      </w:tr>
      <w:tr>
        <w:trPr/>
        <w:tc>
          <w:tcPr>
            <w:tcW w:w="6890" w:type="dxa"/>
            <w:tcBorders/>
            <w:shd w:fill="FFFFFF" w:val="clear"/>
            <w:vAlign w:val="center"/>
          </w:tcPr>
          <w:p>
            <w:pPr>
              <w:pStyle w:val="TableContents"/>
              <w:bidi w:val="0"/>
              <w:spacing w:before="0" w:after="283"/>
              <w:jc w:val="left"/>
              <w:rPr/>
            </w:pPr>
            <w:r>
              <w:rPr/>
              <w:t>Preferred stock, $</w:t>
            </w:r>
            <w:bookmarkStart w:id="65" w:name="xdx_909_eus-gaap--PreferredStockParOrSta"/>
            <w:bookmarkStart w:id="66" w:name="xdx_904_eus-gaap--PreferredStockParOrSta"/>
            <w:bookmarkEnd w:id="65"/>
            <w:bookmarkEnd w:id="66"/>
            <w:r>
              <w:rPr/>
              <w:t xml:space="preserve">0.0001 par value; authorized </w:t>
            </w:r>
            <w:bookmarkStart w:id="67" w:name="xdx_90F_eus-gaap--PreferredStockSharesAu"/>
            <w:bookmarkStart w:id="68" w:name="xdx_90C_eus-gaap--PreferredStockSharesAu"/>
            <w:bookmarkEnd w:id="67"/>
            <w:bookmarkEnd w:id="68"/>
            <w:r>
              <w:rPr/>
              <w:t xml:space="preserve">1,000,000 shares; </w:t>
            </w:r>
            <w:bookmarkStart w:id="69" w:name="xdx_90D_eus-gaap--PreferredStockSharesOu"/>
            <w:bookmarkStart w:id="70" w:name="xdx_90C_eus-gaap--PreferredStockSharesIs"/>
            <w:bookmarkStart w:id="71" w:name="xdx_901_eus-gaap--PreferredStockSharesOu"/>
            <w:bookmarkStart w:id="72" w:name="xdx_90B_eus-gaap--PreferredStockSharesIs"/>
            <w:bookmarkEnd w:id="69"/>
            <w:bookmarkEnd w:id="70"/>
            <w:bookmarkEnd w:id="71"/>
            <w:bookmarkEnd w:id="72"/>
            <w:r>
              <w:rPr/>
              <w:t>none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3" w:name="xdx_40B_eus-gaap--CommonStockValue_i02I_"/>
            <w:bookmarkEnd w:id="73"/>
          </w:p>
        </w:tc>
      </w:tr>
      <w:tr>
        <w:trPr/>
        <w:tc>
          <w:tcPr>
            <w:tcW w:w="6890" w:type="dxa"/>
            <w:tcBorders/>
            <w:shd w:fill="CCEEFF" w:val="clear"/>
            <w:vAlign w:val="center"/>
          </w:tcPr>
          <w:p>
            <w:pPr>
              <w:pStyle w:val="TableContents"/>
              <w:bidi w:val="0"/>
              <w:spacing w:before="0" w:after="283"/>
              <w:jc w:val="left"/>
              <w:rPr/>
            </w:pPr>
            <w:r>
              <w:rPr/>
              <w:t>Class A common stock, $</w:t>
            </w:r>
            <w:bookmarkStart w:id="74" w:name="xdx_908_eus-gaap--CommonStockParOrStated"/>
            <w:bookmarkStart w:id="75" w:name="xdx_90A_eus-gaap--CommonStockParOrStated"/>
            <w:bookmarkEnd w:id="74"/>
            <w:bookmarkEnd w:id="75"/>
            <w:r>
              <w:rPr/>
              <w:t xml:space="preserve">0.0001 par value; authorized </w:t>
            </w:r>
            <w:bookmarkStart w:id="76" w:name="xdx_90C_eus-gaap--CommonStockSharesAutho"/>
            <w:bookmarkStart w:id="77" w:name="xdx_90D_eus-gaap--CommonStockSharesAutho"/>
            <w:bookmarkEnd w:id="76"/>
            <w:bookmarkEnd w:id="77"/>
            <w:r>
              <w:rPr/>
              <w:t xml:space="preserve">100,000,000 shares; </w:t>
            </w:r>
            <w:bookmarkStart w:id="78" w:name="xdx_905_eus-gaap--CommonStockSharesOutst"/>
            <w:bookmarkStart w:id="79" w:name="xdx_907_eus-gaap--CommonStockSharesIssue"/>
            <w:bookmarkStart w:id="80" w:name="xdx_90D_eus-gaap--CommonStockSharesOutst"/>
            <w:bookmarkStart w:id="81" w:name="xdx_903_eus-gaap--CommonStockSharesIssue"/>
            <w:bookmarkEnd w:id="78"/>
            <w:bookmarkEnd w:id="79"/>
            <w:bookmarkEnd w:id="80"/>
            <w:bookmarkEnd w:id="81"/>
            <w:r>
              <w:rPr/>
              <w:t>5,078,450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504</w:t>
            </w:r>
          </w:p>
        </w:tc>
        <w:tc>
          <w:tcPr>
            <w:tcW w:w="113" w:type="dxa"/>
            <w:tcBorders/>
            <w:shd w:fill="CCEEFF" w:val="clear"/>
            <w:vAlign w:val="center"/>
          </w:tcPr>
          <w:p>
            <w:pPr>
              <w:pStyle w:val="TableContents"/>
              <w:bidi w:val="0"/>
              <w:spacing w:before="0" w:after="283"/>
              <w:jc w:val="left"/>
              <w:rPr/>
            </w:pPr>
            <w:r>
              <w:rPr/>
              <w:t> </w:t>
            </w:r>
            <w:bookmarkStart w:id="82" w:name="xdx_40B_eus-gaap--CommonStockValue_i02I_"/>
            <w:bookmarkEnd w:id="82"/>
          </w:p>
        </w:tc>
      </w:tr>
      <w:tr>
        <w:trPr/>
        <w:tc>
          <w:tcPr>
            <w:tcW w:w="6890" w:type="dxa"/>
            <w:tcBorders/>
            <w:shd w:fill="FFFFFF" w:val="clear"/>
            <w:vAlign w:val="center"/>
          </w:tcPr>
          <w:p>
            <w:pPr>
              <w:pStyle w:val="TableContents"/>
              <w:bidi w:val="0"/>
              <w:spacing w:before="0" w:after="283"/>
              <w:jc w:val="left"/>
              <w:rPr/>
            </w:pPr>
            <w:r>
              <w:rPr/>
              <w:t>Class B common stock, $</w:t>
            </w:r>
            <w:bookmarkStart w:id="83" w:name="xdx_904_eus-gaap--CommonStockParOrStated"/>
            <w:bookmarkStart w:id="84" w:name="xdx_90F_eus-gaap--CommonStockParOrStated"/>
            <w:bookmarkEnd w:id="83"/>
            <w:bookmarkEnd w:id="84"/>
            <w:r>
              <w:rPr/>
              <w:t xml:space="preserve">0.0001 par value; authorized </w:t>
            </w:r>
            <w:bookmarkStart w:id="85" w:name="xdx_90F_eus-gaap--CommonStockSharesAutho"/>
            <w:bookmarkStart w:id="86" w:name="xdx_908_eus-gaap--CommonStockSharesAutho"/>
            <w:bookmarkEnd w:id="85"/>
            <w:bookmarkEnd w:id="86"/>
            <w:r>
              <w:rPr/>
              <w:t xml:space="preserve">7,000,000 shares; </w:t>
            </w:r>
            <w:bookmarkStart w:id="87" w:name="xdx_90A_eus-gaap--CommonStockSharesOutst"/>
            <w:bookmarkStart w:id="88" w:name="xdx_902_eus-gaap--CommonStockSharesIssue"/>
            <w:bookmarkStart w:id="89" w:name="xdx_909_eus-gaap--CommonStockSharesOutst"/>
            <w:bookmarkStart w:id="90" w:name="xdx_901_eus-gaap--CommonStockSharesIssue"/>
            <w:bookmarkEnd w:id="87"/>
            <w:bookmarkEnd w:id="88"/>
            <w:bookmarkEnd w:id="89"/>
            <w:bookmarkEnd w:id="90"/>
            <w:r>
              <w:rPr/>
              <w:t>700,000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70</w:t>
            </w:r>
          </w:p>
        </w:tc>
        <w:tc>
          <w:tcPr>
            <w:tcW w:w="113" w:type="dxa"/>
            <w:tcBorders/>
            <w:shd w:fill="FFFFFF" w:val="clear"/>
            <w:vAlign w:val="center"/>
          </w:tcPr>
          <w:p>
            <w:pPr>
              <w:pStyle w:val="TableContents"/>
              <w:bidi w:val="0"/>
              <w:spacing w:before="0" w:after="283"/>
              <w:jc w:val="left"/>
              <w:rPr/>
            </w:pPr>
            <w:r>
              <w:rPr/>
              <w:t> </w:t>
            </w:r>
            <w:bookmarkStart w:id="91" w:name="xdx_407_eus-gaap--CommonStockValue_i02I_"/>
            <w:bookmarkEnd w:id="91"/>
          </w:p>
        </w:tc>
      </w:tr>
      <w:tr>
        <w:trPr/>
        <w:tc>
          <w:tcPr>
            <w:tcW w:w="689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70</w:t>
            </w:r>
          </w:p>
        </w:tc>
        <w:tc>
          <w:tcPr>
            <w:tcW w:w="113" w:type="dxa"/>
            <w:tcBorders/>
            <w:shd w:fill="CCEEFF" w:val="clear"/>
            <w:vAlign w:val="center"/>
          </w:tcPr>
          <w:p>
            <w:pPr>
              <w:pStyle w:val="TableContents"/>
              <w:bidi w:val="0"/>
              <w:spacing w:before="0" w:after="283"/>
              <w:jc w:val="left"/>
              <w:rPr/>
            </w:pPr>
            <w:r>
              <w:rPr/>
              <w:t> </w:t>
            </w:r>
            <w:bookmarkStart w:id="92" w:name="xdx_40B_eus-gaap--AdditionalPaidInCapita"/>
            <w:bookmarkEnd w:id="92"/>
          </w:p>
        </w:tc>
      </w:tr>
      <w:tr>
        <w:trPr/>
        <w:tc>
          <w:tcPr>
            <w:tcW w:w="689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95,213,629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95,213,629</w:t>
            </w:r>
          </w:p>
        </w:tc>
        <w:tc>
          <w:tcPr>
            <w:tcW w:w="113" w:type="dxa"/>
            <w:tcBorders/>
            <w:shd w:fill="CCEEFF" w:val="clear"/>
            <w:vAlign w:val="center"/>
          </w:tcPr>
          <w:p>
            <w:pPr>
              <w:pStyle w:val="TableContents"/>
              <w:bidi w:val="0"/>
              <w:spacing w:before="0" w:after="283"/>
              <w:jc w:val="left"/>
              <w:rPr/>
            </w:pPr>
            <w:r>
              <w:rPr/>
              <w:t> </w:t>
            </w:r>
            <w:bookmarkStart w:id="93" w:name="xdx_406_eus-gaap--RetainedEarningsAccumu"/>
            <w:bookmarkEnd w:id="93"/>
          </w:p>
        </w:tc>
      </w:tr>
      <w:tr>
        <w:trPr/>
        <w:tc>
          <w:tcPr>
            <w:tcW w:w="689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(84,546,074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(84,861,901</w:t>
            </w:r>
          </w:p>
        </w:tc>
        <w:tc>
          <w:tcPr>
            <w:tcW w:w="113" w:type="dxa"/>
            <w:tcBorders/>
            <w:shd w:fill="FFFFFF" w:val="clear"/>
            <w:vAlign w:val="center"/>
          </w:tcPr>
          <w:p>
            <w:pPr>
              <w:pStyle w:val="TableContents"/>
              <w:bidi w:val="0"/>
              <w:spacing w:before="0" w:after="283"/>
              <w:jc w:val="left"/>
              <w:rPr/>
            </w:pPr>
            <w:r>
              <w:rPr/>
              <w:t>)</w:t>
            </w:r>
            <w:bookmarkStart w:id="94" w:name="xdx_40E_eus-gaap--AccumulatedOtherCompre"/>
            <w:bookmarkEnd w:id="94"/>
          </w:p>
        </w:tc>
      </w:tr>
      <w:tr>
        <w:trPr/>
        <w:tc>
          <w:tcPr>
            <w:tcW w:w="689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(3,617,134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(3,576,620</w:t>
            </w:r>
          </w:p>
        </w:tc>
        <w:tc>
          <w:tcPr>
            <w:tcW w:w="113" w:type="dxa"/>
            <w:tcBorders/>
            <w:shd w:fill="CCEEFF" w:val="clear"/>
            <w:vAlign w:val="center"/>
          </w:tcPr>
          <w:p>
            <w:pPr>
              <w:pStyle w:val="TableContents"/>
              <w:bidi w:val="0"/>
              <w:spacing w:before="0" w:after="283"/>
              <w:jc w:val="left"/>
              <w:rPr/>
            </w:pPr>
            <w:r>
              <w:rPr/>
              <w:t>)</w:t>
            </w:r>
            <w:bookmarkStart w:id="95" w:name="xdx_407_eus-gaap--StockholdersEquity_i02"/>
            <w:bookmarkEnd w:id="95"/>
          </w:p>
        </w:tc>
      </w:tr>
      <w:tr>
        <w:trPr/>
        <w:tc>
          <w:tcPr>
            <w:tcW w:w="6890" w:type="dxa"/>
            <w:tcBorders/>
            <w:shd w:fill="FFFFFF" w:val="clear"/>
            <w:vAlign w:val="center"/>
          </w:tcPr>
          <w:p>
            <w:pPr>
              <w:pStyle w:val="TableContents"/>
              <w:bidi w:val="0"/>
              <w:spacing w:before="0" w:after="283"/>
              <w:jc w:val="left"/>
              <w:rPr/>
            </w:pPr>
            <w:r>
              <w:rPr/>
              <w:t>Total Stockholders’ Equity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7,050,995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6,775,682</w:t>
            </w:r>
          </w:p>
        </w:tc>
        <w:tc>
          <w:tcPr>
            <w:tcW w:w="113" w:type="dxa"/>
            <w:tcBorders/>
            <w:shd w:fill="FFFFFF" w:val="clear"/>
            <w:vAlign w:val="center"/>
          </w:tcPr>
          <w:p>
            <w:pPr>
              <w:pStyle w:val="TableContents"/>
              <w:bidi w:val="0"/>
              <w:spacing w:before="0" w:after="283"/>
              <w:jc w:val="left"/>
              <w:rPr/>
            </w:pPr>
            <w:r>
              <w:rPr/>
              <w:t> </w:t>
            </w:r>
            <w:bookmarkStart w:id="96" w:name="xdx_400_eus-gaap--MinorityInterest_i02I_"/>
            <w:bookmarkEnd w:id="96"/>
          </w:p>
        </w:tc>
      </w:tr>
      <w:tr>
        <w:trPr/>
        <w:tc>
          <w:tcPr>
            <w:tcW w:w="689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pPr>
            <w:r>
              <w:rPr/>
              <w:t>1,505,829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805,549</w:t>
            </w:r>
          </w:p>
        </w:tc>
        <w:tc>
          <w:tcPr>
            <w:tcW w:w="113" w:type="dxa"/>
            <w:tcBorders/>
            <w:shd w:fill="CCEEFF" w:val="clear"/>
            <w:vAlign w:val="center"/>
          </w:tcPr>
          <w:p>
            <w:pPr>
              <w:pStyle w:val="TableContents"/>
              <w:bidi w:val="0"/>
              <w:spacing w:before="0" w:after="283"/>
              <w:jc w:val="left"/>
              <w:rPr/>
            </w:pPr>
            <w:r>
              <w:rPr/>
              <w:t> </w:t>
            </w:r>
            <w:bookmarkStart w:id="97" w:name="xdx_40F_eus-gaap--StockholdersEquityIncl"/>
            <w:bookmarkEnd w:id="97"/>
          </w:p>
        </w:tc>
      </w:tr>
      <w:tr>
        <w:trPr/>
        <w:tc>
          <w:tcPr>
            <w:tcW w:w="689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8,556,824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7,581,231</w:t>
            </w:r>
          </w:p>
        </w:tc>
        <w:tc>
          <w:tcPr>
            <w:tcW w:w="113" w:type="dxa"/>
            <w:tcBorders/>
            <w:shd w:fill="FFFFFF" w:val="clear"/>
            <w:vAlign w:val="center"/>
          </w:tcPr>
          <w:p>
            <w:pPr>
              <w:pStyle w:val="TableContents"/>
              <w:bidi w:val="0"/>
              <w:spacing w:before="0" w:after="283"/>
              <w:jc w:val="left"/>
              <w:rPr/>
            </w:pPr>
            <w:r>
              <w:rPr/>
              <w:t> </w:t>
            </w:r>
            <w:bookmarkStart w:id="98" w:name="xdx_401_eus-gaap--LiabilitiesAndStockhol"/>
            <w:bookmarkEnd w:id="98"/>
          </w:p>
        </w:tc>
      </w:tr>
      <w:tr>
        <w:trPr/>
        <w:tc>
          <w:tcPr>
            <w:tcW w:w="689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13,880,041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4" w:type="dxa"/>
            <w:tcBorders>
              <w:bottom w:val="double" w:sz="6" w:space="0" w:color="000000"/>
            </w:tcBorders>
            <w:shd w:fill="CCEEFF" w:val="clear"/>
            <w:tcMar>
              <w:bottom w:w="28" w:type="dxa"/>
            </w:tcMar>
            <w:vAlign w:val="center"/>
          </w:tcPr>
          <w:p>
            <w:pPr>
              <w:pStyle w:val="TableContents"/>
              <w:bidi w:val="0"/>
              <w:spacing w:before="0" w:after="283"/>
              <w:jc w:val="right"/>
              <w:rPr/>
            </w:pPr>
            <w:r>
              <w:rPr/>
              <w:t>11,968,066</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sh_004"/>
      <w:bookmarkEnd w:id="99"/>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0" w:name="xdx_30D_113_zGSC386N3a16"/>
      <w:bookmarkStart w:id="101" w:name="xdx_30D_113_zGSC386N3a16"/>
      <w:bookmarkEnd w:id="101"/>
    </w:p>
    <w:tbl>
      <w:tblPr>
        <w:tblW w:w="10205" w:type="dxa"/>
        <w:jc w:val="left"/>
        <w:tblInd w:w="0" w:type="dxa"/>
        <w:tblLayout w:type="fixed"/>
        <w:tblCellMar>
          <w:top w:w="0" w:type="dxa"/>
          <w:left w:w="0" w:type="dxa"/>
          <w:bottom w:w="0" w:type="dxa"/>
          <w:right w:w="0" w:type="dxa"/>
        </w:tblCellMar>
      </w:tblPr>
      <w:tblGrid>
        <w:gridCol w:w="6813"/>
        <w:gridCol w:w="60"/>
        <w:gridCol w:w="188"/>
        <w:gridCol w:w="1318"/>
        <w:gridCol w:w="127"/>
        <w:gridCol w:w="80"/>
        <w:gridCol w:w="188"/>
        <w:gridCol w:w="1318"/>
        <w:gridCol w:w="113"/>
      </w:tblGrid>
      <w:tr>
        <w:trPr/>
        <w:tc>
          <w:tcPr>
            <w:tcW w:w="68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2" w:name="xdx_494_20260101__20260331_zC15M5LeUkpa"/>
            <w:bookmarkEnd w:id="102"/>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103" w:name="xdx_49D_20250101__20250331_zRv6xhEyS7Rg"/>
            <w:bookmarkEnd w:id="103"/>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8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1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3" w:type="dxa"/>
            <w:tcBorders/>
            <w:vAlign w:val="center"/>
          </w:tcPr>
          <w:p>
            <w:pPr>
              <w:pStyle w:val="TableContents"/>
              <w:bidi w:val="0"/>
              <w:spacing w:before="0" w:after="283"/>
              <w:jc w:val="left"/>
              <w:rPr/>
            </w:pPr>
            <w:r>
              <w:rPr/>
              <w:t> </w:t>
            </w:r>
          </w:p>
        </w:tc>
      </w:tr>
      <w:tr>
        <w:trPr/>
        <w:tc>
          <w:tcPr>
            <w:tcW w:w="68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bookmarkStart w:id="104" w:name="xdx_402_eus-gaap--RevenueFromContractWit"/>
            <w:bookmarkEnd w:id="104"/>
          </w:p>
        </w:tc>
      </w:tr>
      <w:tr>
        <w:trPr/>
        <w:tc>
          <w:tcPr>
            <w:tcW w:w="6813" w:type="dxa"/>
            <w:tcBorders/>
            <w:shd w:fill="CCEEFF" w:val="clear"/>
            <w:vAlign w:val="center"/>
          </w:tcPr>
          <w:p>
            <w:pPr>
              <w:pStyle w:val="TableContents"/>
              <w:bidi w:val="0"/>
              <w:spacing w:before="0" w:after="283"/>
              <w:jc w:val="both"/>
              <w:rPr>
                <w:b/>
              </w:rPr>
            </w:pPr>
            <w:r>
              <w:rPr>
                <w:b/>
              </w:rPr>
              <w:t xml:space="preserve">Revenues </w:t>
            </w:r>
            <w:bookmarkStart w:id="105" w:name="xdx_F4E_zwND5HXIt4o5"/>
            <w:bookmarkEnd w:id="105"/>
            <w:r>
              <w:rPr>
                <w:b/>
              </w:rPr>
              <w:t>[1]</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4,031,289</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1,758,453</w:t>
            </w:r>
          </w:p>
        </w:tc>
        <w:tc>
          <w:tcPr>
            <w:tcW w:w="113" w:type="dxa"/>
            <w:tcBorders/>
            <w:shd w:fill="CCEEFF" w:val="clear"/>
            <w:vAlign w:val="center"/>
          </w:tcPr>
          <w:p>
            <w:pPr>
              <w:pStyle w:val="TableContents"/>
              <w:bidi w:val="0"/>
              <w:spacing w:before="0" w:after="283"/>
              <w:jc w:val="left"/>
              <w:rPr/>
            </w:pPr>
            <w:r>
              <w:rPr/>
              <w:t> </w:t>
            </w:r>
            <w:bookmarkStart w:id="106" w:name="xdx_405_eus-gaap--CostOfRevenue_msGPz9oE"/>
            <w:bookmarkEnd w:id="106"/>
          </w:p>
        </w:tc>
      </w:tr>
      <w:tr>
        <w:trPr/>
        <w:tc>
          <w:tcPr>
            <w:tcW w:w="6813"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517,137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465,386</w:t>
            </w:r>
          </w:p>
        </w:tc>
        <w:tc>
          <w:tcPr>
            <w:tcW w:w="113" w:type="dxa"/>
            <w:tcBorders/>
            <w:shd w:fill="FFFFFF" w:val="clear"/>
            <w:vAlign w:val="center"/>
          </w:tcPr>
          <w:p>
            <w:pPr>
              <w:pStyle w:val="TableContents"/>
              <w:bidi w:val="0"/>
              <w:spacing w:before="0" w:after="283"/>
              <w:jc w:val="left"/>
              <w:rPr/>
            </w:pPr>
            <w:r>
              <w:rPr/>
              <w:t> </w:t>
            </w:r>
            <w:bookmarkStart w:id="107" w:name="xdx_40B_eus-gaap--GrossProfit_iT_pp0p0_m"/>
            <w:bookmarkEnd w:id="107"/>
          </w:p>
        </w:tc>
      </w:tr>
      <w:tr>
        <w:trPr/>
        <w:tc>
          <w:tcPr>
            <w:tcW w:w="6813"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3,514,152</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1,293,067</w:t>
            </w:r>
          </w:p>
        </w:tc>
        <w:tc>
          <w:tcPr>
            <w:tcW w:w="113" w:type="dxa"/>
            <w:tcBorders/>
            <w:shd w:fill="CCEEFF" w:val="clear"/>
            <w:vAlign w:val="center"/>
          </w:tcPr>
          <w:p>
            <w:pPr>
              <w:pStyle w:val="TableContents"/>
              <w:bidi w:val="0"/>
              <w:spacing w:before="0" w:after="283"/>
              <w:jc w:val="left"/>
              <w:rPr/>
            </w:pPr>
            <w:r>
              <w:rPr/>
              <w:t> </w:t>
            </w:r>
          </w:p>
        </w:tc>
      </w:tr>
      <w:tr>
        <w:trPr/>
        <w:tc>
          <w:tcPr>
            <w:tcW w:w="681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8" w:name="xdx_40A_eus-gaap--OperatingExpensesAbstr"/>
            <w:bookmarkEnd w:id="108"/>
          </w:p>
        </w:tc>
      </w:tr>
      <w:tr>
        <w:trPr/>
        <w:tc>
          <w:tcPr>
            <w:tcW w:w="6813"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9" w:name="xdx_406_eus-gaap--SellingAndMarketingExp"/>
            <w:bookmarkEnd w:id="109"/>
          </w:p>
        </w:tc>
      </w:tr>
      <w:tr>
        <w:trPr/>
        <w:tc>
          <w:tcPr>
            <w:tcW w:w="6813"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210,319</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97,701</w:t>
            </w:r>
          </w:p>
        </w:tc>
        <w:tc>
          <w:tcPr>
            <w:tcW w:w="113" w:type="dxa"/>
            <w:tcBorders/>
            <w:shd w:fill="FFFFFF" w:val="clear"/>
            <w:vAlign w:val="center"/>
          </w:tcPr>
          <w:p>
            <w:pPr>
              <w:pStyle w:val="TableContents"/>
              <w:bidi w:val="0"/>
              <w:spacing w:before="0" w:after="283"/>
              <w:jc w:val="left"/>
              <w:rPr/>
            </w:pPr>
            <w:r>
              <w:rPr/>
              <w:t> </w:t>
            </w:r>
            <w:bookmarkStart w:id="110" w:name="xdx_409_eus-gaap--ResearchAndDevelopment"/>
            <w:bookmarkEnd w:id="110"/>
          </w:p>
        </w:tc>
      </w:tr>
      <w:tr>
        <w:trPr/>
        <w:tc>
          <w:tcPr>
            <w:tcW w:w="6813" w:type="dxa"/>
            <w:tcBorders/>
            <w:shd w:fill="CCEEFF" w:val="clear"/>
            <w:vAlign w:val="center"/>
          </w:tcPr>
          <w:p>
            <w:pPr>
              <w:pStyle w:val="TableContents"/>
              <w:bidi w:val="0"/>
              <w:spacing w:before="0" w:after="283"/>
              <w:jc w:val="both"/>
              <w:rPr/>
            </w:pPr>
            <w:r>
              <w:rPr/>
              <w:t>Development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514,337</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601,953</w:t>
            </w:r>
          </w:p>
        </w:tc>
        <w:tc>
          <w:tcPr>
            <w:tcW w:w="113" w:type="dxa"/>
            <w:tcBorders/>
            <w:shd w:fill="CCEEFF" w:val="clear"/>
            <w:vAlign w:val="center"/>
          </w:tcPr>
          <w:p>
            <w:pPr>
              <w:pStyle w:val="TableContents"/>
              <w:bidi w:val="0"/>
              <w:spacing w:before="0" w:after="283"/>
              <w:jc w:val="left"/>
              <w:rPr/>
            </w:pPr>
            <w:r>
              <w:rPr/>
              <w:t> </w:t>
            </w:r>
            <w:bookmarkStart w:id="111" w:name="xdx_403_eus-gaap--GeneralAndAdministrati"/>
            <w:bookmarkEnd w:id="111"/>
          </w:p>
        </w:tc>
      </w:tr>
      <w:tr>
        <w:trPr/>
        <w:tc>
          <w:tcPr>
            <w:tcW w:w="6813" w:type="dxa"/>
            <w:tcBorders/>
            <w:shd w:fill="FFFFFF" w:val="clear"/>
            <w:vAlign w:val="center"/>
          </w:tcPr>
          <w:p>
            <w:pPr>
              <w:pStyle w:val="TableContents"/>
              <w:bidi w:val="0"/>
              <w:spacing w:before="0" w:after="283"/>
              <w:jc w:val="both"/>
              <w:rPr/>
            </w:pPr>
            <w:r>
              <w:rPr/>
              <w:t xml:space="preserve">General and administrative </w:t>
            </w:r>
            <w:bookmarkStart w:id="112" w:name="xdx_F48_zRlIln5x4hQj"/>
            <w:bookmarkEnd w:id="112"/>
            <w:r>
              <w:rPr/>
              <w:t>[2]</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1,698,631</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1,168,482</w:t>
            </w:r>
          </w:p>
        </w:tc>
        <w:tc>
          <w:tcPr>
            <w:tcW w:w="113" w:type="dxa"/>
            <w:tcBorders/>
            <w:shd w:fill="FFFFFF" w:val="clear"/>
            <w:vAlign w:val="center"/>
          </w:tcPr>
          <w:p>
            <w:pPr>
              <w:pStyle w:val="TableContents"/>
              <w:bidi w:val="0"/>
              <w:spacing w:before="0" w:after="283"/>
              <w:jc w:val="left"/>
              <w:rPr/>
            </w:pPr>
            <w:r>
              <w:rPr/>
              <w:t> </w:t>
            </w:r>
            <w:bookmarkStart w:id="113" w:name="xdx_40A_eus-gaap--ImpairmentOfIntangible"/>
            <w:bookmarkEnd w:id="113"/>
          </w:p>
        </w:tc>
      </w:tr>
      <w:tr>
        <w:trPr/>
        <w:tc>
          <w:tcPr>
            <w:tcW w:w="6813" w:type="dxa"/>
            <w:tcBorders/>
            <w:shd w:fill="CCEEFF" w:val="clear"/>
            <w:vAlign w:val="center"/>
          </w:tcPr>
          <w:p>
            <w:pPr>
              <w:pStyle w:val="TableContents"/>
              <w:bidi w:val="0"/>
              <w:spacing w:before="0" w:after="283"/>
              <w:jc w:val="both"/>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27,928</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4" w:name="xdx_408_eus-gaap--DepreciationAndAmortiz"/>
            <w:bookmarkEnd w:id="114"/>
          </w:p>
        </w:tc>
      </w:tr>
      <w:tr>
        <w:trPr/>
        <w:tc>
          <w:tcPr>
            <w:tcW w:w="6813"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6,516</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18,126</w:t>
            </w:r>
          </w:p>
        </w:tc>
        <w:tc>
          <w:tcPr>
            <w:tcW w:w="113" w:type="dxa"/>
            <w:tcBorders/>
            <w:shd w:fill="FFFFFF" w:val="clear"/>
            <w:vAlign w:val="center"/>
          </w:tcPr>
          <w:p>
            <w:pPr>
              <w:pStyle w:val="TableContents"/>
              <w:bidi w:val="0"/>
              <w:spacing w:before="0" w:after="283"/>
              <w:jc w:val="left"/>
              <w:rPr/>
            </w:pPr>
            <w:r>
              <w:rPr/>
              <w:t> </w:t>
            </w:r>
            <w:bookmarkStart w:id="115" w:name="xdx_40E_eus-gaap--OperatingExpenses_i01T"/>
            <w:bookmarkEnd w:id="115"/>
          </w:p>
        </w:tc>
      </w:tr>
      <w:tr>
        <w:trPr/>
        <w:tc>
          <w:tcPr>
            <w:tcW w:w="6813"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2,457,731</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1,886,262</w:t>
            </w:r>
          </w:p>
        </w:tc>
        <w:tc>
          <w:tcPr>
            <w:tcW w:w="113" w:type="dxa"/>
            <w:tcBorders/>
            <w:shd w:fill="CCEEFF" w:val="clear"/>
            <w:vAlign w:val="center"/>
          </w:tcPr>
          <w:p>
            <w:pPr>
              <w:pStyle w:val="TableContents"/>
              <w:bidi w:val="0"/>
              <w:spacing w:before="0" w:after="283"/>
              <w:jc w:val="left"/>
              <w:rPr/>
            </w:pPr>
            <w:r>
              <w:rPr/>
              <w:t> </w:t>
            </w:r>
            <w:bookmarkStart w:id="116" w:name="xdx_406_eus-gaap--OtherOperatingIncomeEx"/>
            <w:bookmarkEnd w:id="116"/>
          </w:p>
        </w:tc>
      </w:tr>
      <w:tr>
        <w:trPr/>
        <w:tc>
          <w:tcPr>
            <w:tcW w:w="6813" w:type="dxa"/>
            <w:tcBorders/>
            <w:shd w:fill="FFFFFF" w:val="clear"/>
            <w:vAlign w:val="center"/>
          </w:tcPr>
          <w:p>
            <w:pPr>
              <w:pStyle w:val="TableContents"/>
              <w:bidi w:val="0"/>
              <w:spacing w:before="0" w:after="283"/>
              <w:jc w:val="both"/>
              <w:rPr/>
            </w:pPr>
            <w:r>
              <w:rPr/>
              <w:t>Other operating income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500,000</w:t>
            </w:r>
          </w:p>
        </w:tc>
        <w:tc>
          <w:tcPr>
            <w:tcW w:w="113" w:type="dxa"/>
            <w:tcBorders/>
            <w:shd w:fill="FFFFFF" w:val="clear"/>
            <w:vAlign w:val="center"/>
          </w:tcPr>
          <w:p>
            <w:pPr>
              <w:pStyle w:val="TableContents"/>
              <w:bidi w:val="0"/>
              <w:spacing w:before="0" w:after="283"/>
              <w:jc w:val="left"/>
              <w:rPr/>
            </w:pPr>
            <w:r>
              <w:rPr/>
              <w:t> </w:t>
            </w:r>
            <w:bookmarkStart w:id="117" w:name="xdx_407_eus-gaap--OperatingIncomeLoss_iT"/>
            <w:bookmarkEnd w:id="117"/>
          </w:p>
        </w:tc>
      </w:tr>
      <w:tr>
        <w:trPr/>
        <w:tc>
          <w:tcPr>
            <w:tcW w:w="6813" w:type="dxa"/>
            <w:tcBorders/>
            <w:shd w:fill="CCEEFF" w:val="clear"/>
            <w:vAlign w:val="center"/>
          </w:tcPr>
          <w:p>
            <w:pPr>
              <w:pStyle w:val="TableContents"/>
              <w:bidi w:val="0"/>
              <w:spacing w:before="0" w:after="283"/>
              <w:jc w:val="both"/>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1,056,421</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(93,195</w:t>
            </w:r>
          </w:p>
        </w:tc>
        <w:tc>
          <w:tcPr>
            <w:tcW w:w="113" w:type="dxa"/>
            <w:tcBorders/>
            <w:shd w:fill="CCEEFF" w:val="clear"/>
            <w:vAlign w:val="center"/>
          </w:tcPr>
          <w:p>
            <w:pPr>
              <w:pStyle w:val="TableContents"/>
              <w:bidi w:val="0"/>
              <w:spacing w:before="0" w:after="283"/>
              <w:jc w:val="left"/>
              <w:rPr/>
            </w:pPr>
            <w:r>
              <w:rPr/>
              <w:t>)</w:t>
            </w:r>
            <w:bookmarkStart w:id="118" w:name="xdx_409_eus-gaap--InterestExpense_iN_pp0"/>
            <w:bookmarkEnd w:id="118"/>
          </w:p>
        </w:tc>
      </w:tr>
      <w:tr>
        <w:trPr/>
        <w:tc>
          <w:tcPr>
            <w:tcW w:w="6813" w:type="dxa"/>
            <w:tcBorders/>
            <w:shd w:fill="FFFFFF" w:val="clear"/>
            <w:vAlign w:val="center"/>
          </w:tcPr>
          <w:p>
            <w:pPr>
              <w:pStyle w:val="TableContents"/>
              <w:bidi w:val="0"/>
              <w:spacing w:before="0" w:after="283"/>
              <w:jc w:val="both"/>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(3,205</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(13,010</w:t>
            </w:r>
          </w:p>
        </w:tc>
        <w:tc>
          <w:tcPr>
            <w:tcW w:w="113" w:type="dxa"/>
            <w:tcBorders/>
            <w:shd w:fill="FFFFFF" w:val="clear"/>
            <w:vAlign w:val="center"/>
          </w:tcPr>
          <w:p>
            <w:pPr>
              <w:pStyle w:val="TableContents"/>
              <w:bidi w:val="0"/>
              <w:spacing w:before="0" w:after="283"/>
              <w:jc w:val="left"/>
              <w:rPr/>
            </w:pPr>
            <w:r>
              <w:rPr/>
              <w:t>)</w:t>
            </w:r>
            <w:bookmarkStart w:id="119" w:name="xdx_403_eus-gaap--OtherNonoperatingIncom"/>
            <w:bookmarkEnd w:id="119"/>
          </w:p>
        </w:tc>
      </w:tr>
      <w:tr>
        <w:trPr/>
        <w:tc>
          <w:tcPr>
            <w:tcW w:w="6813" w:type="dxa"/>
            <w:tcBorders/>
            <w:shd w:fill="CCEEFF" w:val="clear"/>
            <w:vAlign w:val="center"/>
          </w:tcPr>
          <w:p>
            <w:pPr>
              <w:pStyle w:val="TableContents"/>
              <w:bidi w:val="0"/>
              <w:spacing w:before="0" w:after="283"/>
              <w:jc w:val="both"/>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(101,643</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1,128,818</w:t>
            </w:r>
          </w:p>
        </w:tc>
        <w:tc>
          <w:tcPr>
            <w:tcW w:w="113" w:type="dxa"/>
            <w:tcBorders/>
            <w:shd w:fill="CCEEFF" w:val="clear"/>
            <w:vAlign w:val="center"/>
          </w:tcPr>
          <w:p>
            <w:pPr>
              <w:pStyle w:val="TableContents"/>
              <w:bidi w:val="0"/>
              <w:spacing w:before="0" w:after="283"/>
              <w:jc w:val="left"/>
              <w:rPr/>
            </w:pPr>
            <w:r>
              <w:rPr/>
              <w:t> </w:t>
            </w:r>
            <w:bookmarkStart w:id="120" w:name="xdx_40D_eus-gaap--ProfitLoss_iT_pp0p0_mt"/>
            <w:bookmarkEnd w:id="120"/>
          </w:p>
        </w:tc>
      </w:tr>
      <w:tr>
        <w:trPr/>
        <w:tc>
          <w:tcPr>
            <w:tcW w:w="6813" w:type="dxa"/>
            <w:tcBorders/>
            <w:shd w:fill="FFFFFF" w:val="clear"/>
            <w:vAlign w:val="center"/>
          </w:tcPr>
          <w:p>
            <w:pPr>
              <w:pStyle w:val="TableContents"/>
              <w:bidi w:val="0"/>
              <w:spacing w:before="0" w:after="283"/>
              <w:jc w:val="both"/>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951,573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1,022,613</w:t>
            </w:r>
          </w:p>
        </w:tc>
        <w:tc>
          <w:tcPr>
            <w:tcW w:w="113" w:type="dxa"/>
            <w:tcBorders/>
            <w:shd w:fill="FFFFFF" w:val="clear"/>
            <w:vAlign w:val="center"/>
          </w:tcPr>
          <w:p>
            <w:pPr>
              <w:pStyle w:val="TableContents"/>
              <w:bidi w:val="0"/>
              <w:spacing w:before="0" w:after="283"/>
              <w:jc w:val="left"/>
              <w:rPr/>
            </w:pPr>
            <w:r>
              <w:rPr/>
              <w:t> </w:t>
            </w:r>
            <w:bookmarkStart w:id="121" w:name="xdx_40A_eus-gaap--NetIncomeLossAttributa"/>
            <w:bookmarkEnd w:id="121"/>
          </w:p>
        </w:tc>
      </w:tr>
      <w:tr>
        <w:trPr/>
        <w:tc>
          <w:tcPr>
            <w:tcW w:w="6813" w:type="dxa"/>
            <w:tcBorders/>
            <w:shd w:fill="CCEEFF" w:val="clear"/>
            <w:vAlign w:val="center"/>
          </w:tcPr>
          <w:p>
            <w:pPr>
              <w:pStyle w:val="TableContents"/>
              <w:bidi w:val="0"/>
              <w:spacing w:before="0" w:after="283"/>
              <w:jc w:val="both"/>
              <w:rPr/>
            </w:pPr>
            <w:r>
              <w:rPr/>
              <w:t>Less: 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635,746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113" w:type="dxa"/>
            <w:tcBorders/>
            <w:shd w:fill="CCEEFF" w:val="clear"/>
            <w:vAlign w:val="center"/>
          </w:tcPr>
          <w:p>
            <w:pPr>
              <w:pStyle w:val="TableContents"/>
              <w:bidi w:val="0"/>
              <w:spacing w:before="0" w:after="283"/>
              <w:jc w:val="left"/>
              <w:rPr/>
            </w:pPr>
            <w:r>
              <w:rPr/>
              <w:t>)</w:t>
            </w:r>
            <w:bookmarkStart w:id="122" w:name="xdx_408_eus-gaap--NetIncomeLoss_iT_pp0p0"/>
            <w:bookmarkEnd w:id="122"/>
          </w:p>
        </w:tc>
      </w:tr>
      <w:tr>
        <w:trPr/>
        <w:tc>
          <w:tcPr>
            <w:tcW w:w="6813" w:type="dxa"/>
            <w:tcBorders/>
            <w:shd w:fill="FFFFFF" w:val="clear"/>
            <w:vAlign w:val="center"/>
          </w:tcPr>
          <w:p>
            <w:pPr>
              <w:pStyle w:val="TableContents"/>
              <w:bidi w:val="0"/>
              <w:spacing w:before="0" w:after="283"/>
              <w:jc w:val="both"/>
              <w:rPr>
                <w:b/>
              </w:rPr>
            </w:pPr>
            <w:r>
              <w:rPr>
                <w:b/>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315,827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1,041,058</w:t>
            </w:r>
          </w:p>
        </w:tc>
        <w:tc>
          <w:tcPr>
            <w:tcW w:w="113" w:type="dxa"/>
            <w:tcBorders/>
            <w:shd w:fill="FFFFFF" w:val="clear"/>
            <w:vAlign w:val="center"/>
          </w:tcPr>
          <w:p>
            <w:pPr>
              <w:pStyle w:val="TableContents"/>
              <w:bidi w:val="0"/>
              <w:spacing w:before="0" w:after="283"/>
              <w:jc w:val="left"/>
              <w:rPr/>
            </w:pPr>
            <w:r>
              <w:rPr/>
              <w:t> </w:t>
            </w:r>
          </w:p>
        </w:tc>
      </w:tr>
      <w:tr>
        <w:trPr/>
        <w:tc>
          <w:tcPr>
            <w:tcW w:w="681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3" w:name="xdx_40E_eus-gaap--EarningsPerShareAbstra"/>
            <w:bookmarkEnd w:id="123"/>
          </w:p>
        </w:tc>
      </w:tr>
      <w:tr>
        <w:trPr/>
        <w:tc>
          <w:tcPr>
            <w:tcW w:w="6813" w:type="dxa"/>
            <w:tcBorders/>
            <w:shd w:fill="FFFFFF" w:val="clear"/>
            <w:vAlign w:val="center"/>
          </w:tcPr>
          <w:p>
            <w:pPr>
              <w:pStyle w:val="TableContents"/>
              <w:bidi w:val="0"/>
              <w:spacing w:before="0" w:after="283"/>
              <w:jc w:val="both"/>
              <w:rPr/>
            </w:pPr>
            <w:r>
              <w:rPr/>
              <w:t>Net income per Class A common share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4" w:name="xdx_407_eus-gaap--EarningsPerShareBasic_"/>
            <w:bookmarkEnd w:id="124"/>
          </w:p>
        </w:tc>
      </w:tr>
      <w:tr>
        <w:trPr/>
        <w:tc>
          <w:tcPr>
            <w:tcW w:w="6813"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0.06</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0.33</w:t>
            </w:r>
          </w:p>
        </w:tc>
        <w:tc>
          <w:tcPr>
            <w:tcW w:w="113" w:type="dxa"/>
            <w:tcBorders/>
            <w:shd w:fill="CCEEFF" w:val="clear"/>
            <w:vAlign w:val="center"/>
          </w:tcPr>
          <w:p>
            <w:pPr>
              <w:pStyle w:val="TableContents"/>
              <w:bidi w:val="0"/>
              <w:spacing w:before="0" w:after="283"/>
              <w:jc w:val="left"/>
              <w:rPr/>
            </w:pPr>
            <w:r>
              <w:rPr/>
              <w:t> </w:t>
            </w:r>
            <w:bookmarkStart w:id="125" w:name="xdx_407_eus-gaap--EarningsPerShareDilute"/>
            <w:bookmarkEnd w:id="125"/>
          </w:p>
        </w:tc>
      </w:tr>
      <w:tr>
        <w:trPr/>
        <w:tc>
          <w:tcPr>
            <w:tcW w:w="6813"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318" w:type="dxa"/>
            <w:tcBorders/>
            <w:shd w:fill="FFFFFF" w:val="clear"/>
            <w:vAlign w:val="center"/>
          </w:tcPr>
          <w:p>
            <w:pPr>
              <w:pStyle w:val="TableContents"/>
              <w:bidi w:val="0"/>
              <w:spacing w:before="0" w:after="283"/>
              <w:jc w:val="right"/>
              <w:rPr/>
            </w:pPr>
            <w:r>
              <w:rPr/>
              <w:t>0.06</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318" w:type="dxa"/>
            <w:tcBorders/>
            <w:shd w:fill="FFFFFF" w:val="clear"/>
            <w:vAlign w:val="center"/>
          </w:tcPr>
          <w:p>
            <w:pPr>
              <w:pStyle w:val="TableContents"/>
              <w:bidi w:val="0"/>
              <w:spacing w:before="0" w:after="283"/>
              <w:jc w:val="right"/>
              <w:rPr/>
            </w:pPr>
            <w:r>
              <w:rPr/>
              <w:t>0.33</w:t>
            </w:r>
          </w:p>
        </w:tc>
        <w:tc>
          <w:tcPr>
            <w:tcW w:w="113" w:type="dxa"/>
            <w:tcBorders/>
            <w:shd w:fill="FFFFFF" w:val="clear"/>
            <w:vAlign w:val="center"/>
          </w:tcPr>
          <w:p>
            <w:pPr>
              <w:pStyle w:val="TableContents"/>
              <w:bidi w:val="0"/>
              <w:spacing w:before="0" w:after="283"/>
              <w:jc w:val="left"/>
              <w:rPr/>
            </w:pPr>
            <w:r>
              <w:rPr/>
              <w:t> </w:t>
            </w:r>
            <w:bookmarkStart w:id="126" w:name="xdx_404_eus-gaap--WeightedAverageNumberO"/>
            <w:bookmarkEnd w:id="126"/>
          </w:p>
        </w:tc>
      </w:tr>
      <w:tr>
        <w:trPr/>
        <w:tc>
          <w:tcPr>
            <w:tcW w:w="6813" w:type="dxa"/>
            <w:tcBorders/>
            <w:shd w:fill="CCEEFF" w:val="clear"/>
            <w:vAlign w:val="center"/>
          </w:tcPr>
          <w:p>
            <w:pPr>
              <w:pStyle w:val="TableContents"/>
              <w:bidi w:val="0"/>
              <w:spacing w:before="0" w:after="283"/>
              <w:jc w:val="both"/>
              <w:rPr/>
            </w:pPr>
            <w:r>
              <w:rPr/>
              <w:t>Weighted-average shares of Class A common stock outstanding:</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7" w:name="xdx_40A_eus-gaap--WeightedAverageNumberO"/>
            <w:bookmarkEnd w:id="127"/>
          </w:p>
        </w:tc>
      </w:tr>
      <w:tr>
        <w:trPr/>
        <w:tc>
          <w:tcPr>
            <w:tcW w:w="6813" w:type="dxa"/>
            <w:tcBorders/>
            <w:shd w:fill="FFFFFF" w:val="clear"/>
            <w:vAlign w:val="center"/>
          </w:tcPr>
          <w:p>
            <w:pPr>
              <w:pStyle w:val="TableContents"/>
              <w:bidi w:val="0"/>
              <w:spacing w:before="0" w:after="283"/>
              <w:jc w:val="both"/>
              <w:rPr/>
            </w:pPr>
            <w:r>
              <w:rPr/>
              <w:t>Basic</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5,456,286</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3,183,558</w:t>
            </w:r>
          </w:p>
        </w:tc>
        <w:tc>
          <w:tcPr>
            <w:tcW w:w="113" w:type="dxa"/>
            <w:tcBorders/>
            <w:shd w:fill="FFFFFF" w:val="clear"/>
            <w:vAlign w:val="center"/>
          </w:tcPr>
          <w:p>
            <w:pPr>
              <w:pStyle w:val="TableContents"/>
              <w:bidi w:val="0"/>
              <w:spacing w:before="0" w:after="283"/>
              <w:jc w:val="left"/>
              <w:rPr/>
            </w:pPr>
            <w:r>
              <w:rPr/>
              <w:t> </w:t>
            </w:r>
            <w:bookmarkStart w:id="128" w:name="xdx_40C_eus-gaap--WeightedAverageNumberO"/>
            <w:bookmarkEnd w:id="128"/>
          </w:p>
        </w:tc>
      </w:tr>
      <w:tr>
        <w:trPr/>
        <w:tc>
          <w:tcPr>
            <w:tcW w:w="6813" w:type="dxa"/>
            <w:tcBorders/>
            <w:shd w:fill="CCEEFF" w:val="clear"/>
            <w:vAlign w:val="center"/>
          </w:tcPr>
          <w:p>
            <w:pPr>
              <w:pStyle w:val="TableContents"/>
              <w:bidi w:val="0"/>
              <w:spacing w:before="0" w:after="283"/>
              <w:jc w:val="both"/>
              <w:rPr/>
            </w:pPr>
            <w:r>
              <w:rPr/>
              <w:t>Diluted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5,482,458</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3,183,558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9" w:name="xdx_F0C_zof1z9lkAVjk"/>
            <w:bookmarkEnd w:id="129"/>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0" w:name="xdx_F1E_zZiHvnDPS4z5"/>
            <w:bookmarkEnd w:id="130"/>
            <w:r>
              <w:rPr>
                <w:rFonts w:ascii="Times New Roman;Times;Serif" w:hAnsi="Times New Roman;Times;Serif"/>
                <w:b w:val="false"/>
                <w:i w:val="false"/>
                <w:caps w:val="false"/>
                <w:smallCaps w:val="false"/>
                <w:sz w:val="20"/>
              </w:rPr>
              <w:t>Includes related party revenues of $</w:t>
            </w:r>
            <w:bookmarkStart w:id="131" w:name="xdx_901_eus-gaap--RevenueFromContractWit"/>
            <w:bookmarkEnd w:id="131"/>
            <w:r>
              <w:rPr>
                <w:rFonts w:ascii="Times New Roman;Times;Serif" w:hAnsi="Times New Roman;Times;Serif"/>
                <w:b w:val="false"/>
                <w:i w:val="false"/>
                <w:caps w:val="false"/>
                <w:smallCaps w:val="false"/>
                <w:sz w:val="20"/>
              </w:rPr>
              <w:t>11,000 and $</w:t>
            </w:r>
            <w:bookmarkStart w:id="132" w:name="xdx_905_eus-gaap--RevenueFromContractWit"/>
            <w:bookmarkEnd w:id="132"/>
            <w:r>
              <w:rPr>
                <w:rFonts w:ascii="Times New Roman;Times;Serif" w:hAnsi="Times New Roman;Times;Serif"/>
                <w:b w:val="false"/>
                <w:i w:val="false"/>
                <w:caps w:val="false"/>
                <w:smallCaps w:val="false"/>
                <w:sz w:val="20"/>
              </w:rPr>
              <w:t>0 for the three months ended March 31, 2026 and 2025, respectively.</w:t>
            </w:r>
          </w:p>
        </w:tc>
      </w:tr>
      <w:tr>
        <w:trPr/>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9575" w:type="dxa"/>
            <w:tcBorders/>
            <w:vAlign w:val="center"/>
          </w:tcPr>
          <w:p>
            <w:pPr>
              <w:pStyle w:val="TableContents"/>
              <w:bidi w:val="0"/>
              <w:spacing w:before="0" w:after="283"/>
              <w:jc w:val="both"/>
              <w:rPr>
                <w:caps w:val="false"/>
                <w:smallCaps w:val="false"/>
              </w:rPr>
            </w:pPr>
            <w:r>
              <w:rPr>
                <w:caps w:val="false"/>
                <w:smallCaps w:val="false"/>
              </w:rPr>
              <w:t> </w:t>
            </w:r>
            <w:bookmarkStart w:id="133" w:name="xdx_F0B_zrFVXiM7ocQc"/>
            <w:bookmarkEnd w:id="133"/>
          </w:p>
        </w:tc>
      </w:tr>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bookmarkStart w:id="134" w:name="xdx_F10_z2BLp21lu8Ei"/>
            <w:bookmarkEnd w:id="134"/>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expenses of $</w:t>
            </w:r>
            <w:bookmarkStart w:id="135" w:name="xdx_903_eus-gaap--GeneralAndAdministrati"/>
            <w:bookmarkEnd w:id="135"/>
            <w:r>
              <w:rPr>
                <w:rFonts w:ascii="Times New Roman;Times;Serif" w:hAnsi="Times New Roman;Times;Serif"/>
                <w:b w:val="false"/>
                <w:i w:val="false"/>
                <w:caps w:val="false"/>
                <w:smallCaps w:val="false"/>
                <w:sz w:val="20"/>
              </w:rPr>
              <w:t>0 and $</w:t>
            </w:r>
            <w:bookmarkStart w:id="136" w:name="xdx_900_eus-gaap--GeneralAndAdministrati"/>
            <w:bookmarkEnd w:id="136"/>
            <w:r>
              <w:rPr>
                <w:rFonts w:ascii="Times New Roman;Times;Serif" w:hAnsi="Times New Roman;Times;Serif"/>
                <w:b w:val="false"/>
                <w:i w:val="false"/>
                <w:caps w:val="false"/>
                <w:smallCaps w:val="false"/>
                <w:sz w:val="20"/>
              </w:rPr>
              <w:t>37,500 for the three months ended March 31, 2026 and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7" w:name="sh_005"/>
      <w:bookmarkEnd w:id="137"/>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COMPREHENSIVE INCOME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8" w:name="xdx_303_113_zZyBfx6MvTH1"/>
      <w:bookmarkStart w:id="139" w:name="xdx_303_113_zZyBfx6MvTH1"/>
      <w:bookmarkEnd w:id="139"/>
    </w:p>
    <w:tbl>
      <w:tblPr>
        <w:tblW w:w="9448" w:type="dxa"/>
        <w:jc w:val="left"/>
        <w:tblInd w:w="0" w:type="dxa"/>
        <w:tblLayout w:type="fixed"/>
        <w:tblCellMar>
          <w:top w:w="0" w:type="dxa"/>
          <w:left w:w="0" w:type="dxa"/>
          <w:bottom w:w="0" w:type="dxa"/>
          <w:right w:w="0" w:type="dxa"/>
        </w:tblCellMar>
      </w:tblPr>
      <w:tblGrid>
        <w:gridCol w:w="5960"/>
        <w:gridCol w:w="60"/>
        <w:gridCol w:w="213"/>
        <w:gridCol w:w="1218"/>
        <w:gridCol w:w="91"/>
        <w:gridCol w:w="91"/>
        <w:gridCol w:w="213"/>
        <w:gridCol w:w="1492"/>
        <w:gridCol w:w="110"/>
      </w:tblGrid>
      <w:tr>
        <w:trPr/>
        <w:tc>
          <w:tcPr>
            <w:tcW w:w="5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40" w:name="xdx_498_20260101__20260331_zXOy1TSgeLte"/>
            <w:bookmarkEnd w:id="140"/>
          </w:p>
        </w:tc>
        <w:tc>
          <w:tcPr>
            <w:tcW w:w="14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bookmarkStart w:id="141" w:name="xdx_49B_20250101__20250331_zZkoruHWRPI4"/>
            <w:bookmarkEnd w:id="141"/>
          </w:p>
        </w:tc>
        <w:tc>
          <w:tcPr>
            <w:tcW w:w="1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42" w:name="xdx_403_eus-gaap--ProfitLoss_maOCILNzfL8"/>
            <w:bookmarkEnd w:id="142"/>
          </w:p>
        </w:tc>
      </w:tr>
      <w:tr>
        <w:trPr/>
        <w:tc>
          <w:tcPr>
            <w:tcW w:w="5960"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951,573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492" w:type="dxa"/>
            <w:tcBorders/>
            <w:shd w:fill="CCEEFF" w:val="clear"/>
            <w:vAlign w:val="center"/>
          </w:tcPr>
          <w:p>
            <w:pPr>
              <w:pStyle w:val="TableContents"/>
              <w:bidi w:val="0"/>
              <w:spacing w:before="0" w:after="283"/>
              <w:jc w:val="right"/>
              <w:rPr/>
            </w:pPr>
            <w:r>
              <w:rPr/>
              <w:t>1,022,613</w:t>
            </w:r>
          </w:p>
        </w:tc>
        <w:tc>
          <w:tcPr>
            <w:tcW w:w="110" w:type="dxa"/>
            <w:tcBorders/>
            <w:shd w:fill="CCEEFF" w:val="clear"/>
            <w:vAlign w:val="center"/>
          </w:tcPr>
          <w:p>
            <w:pPr>
              <w:pStyle w:val="TableContents"/>
              <w:bidi w:val="0"/>
              <w:spacing w:before="0" w:after="283"/>
              <w:jc w:val="left"/>
              <w:rPr/>
            </w:pPr>
            <w:r>
              <w:rPr/>
              <w:t> </w:t>
            </w:r>
            <w:bookmarkStart w:id="143" w:name="xdx_407_eus-gaap--OtherComprehensiveInco"/>
            <w:bookmarkEnd w:id="143"/>
          </w:p>
        </w:tc>
      </w:tr>
      <w:tr>
        <w:trPr/>
        <w:tc>
          <w:tcPr>
            <w:tcW w:w="5960" w:type="dxa"/>
            <w:tcBorders/>
            <w:shd w:fill="FFFFFF" w:val="clear"/>
            <w:vAlign w:val="center"/>
          </w:tcPr>
          <w:p>
            <w:pPr>
              <w:pStyle w:val="TableContents"/>
              <w:bidi w:val="0"/>
              <w:spacing w:before="0" w:after="283"/>
              <w:jc w:val="both"/>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4" w:name="xdx_408_eus-gaap--OtherComprehensiveInco"/>
            <w:bookmarkEnd w:id="144"/>
          </w:p>
        </w:tc>
      </w:tr>
      <w:tr>
        <w:trPr/>
        <w:tc>
          <w:tcPr>
            <w:tcW w:w="596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24,020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2" w:type="dxa"/>
            <w:tcBorders>
              <w:bottom w:val="single" w:sz="8" w:space="0" w:color="000000"/>
            </w:tcBorders>
            <w:shd w:fill="CCEEFF" w:val="clear"/>
            <w:tcMar>
              <w:bottom w:w="28" w:type="dxa"/>
            </w:tcMar>
            <w:vAlign w:val="center"/>
          </w:tcPr>
          <w:p>
            <w:pPr>
              <w:pStyle w:val="TableContents"/>
              <w:bidi w:val="0"/>
              <w:spacing w:before="0" w:after="283"/>
              <w:jc w:val="right"/>
              <w:rPr/>
            </w:pPr>
            <w:r>
              <w:rPr/>
              <w:t>(831,730</w:t>
            </w:r>
          </w:p>
        </w:tc>
        <w:tc>
          <w:tcPr>
            <w:tcW w:w="110" w:type="dxa"/>
            <w:tcBorders/>
            <w:shd w:fill="CCEEFF" w:val="clear"/>
            <w:vAlign w:val="center"/>
          </w:tcPr>
          <w:p>
            <w:pPr>
              <w:pStyle w:val="TableContents"/>
              <w:bidi w:val="0"/>
              <w:spacing w:before="0" w:after="283"/>
              <w:jc w:val="left"/>
              <w:rPr/>
            </w:pPr>
            <w:r>
              <w:rPr/>
              <w:t>)</w:t>
            </w:r>
            <w:bookmarkStart w:id="145" w:name="xdx_405_eus-gaap--ComprehensiveIncomeNet"/>
            <w:bookmarkEnd w:id="145"/>
          </w:p>
        </w:tc>
      </w:tr>
      <w:tr>
        <w:trPr/>
        <w:tc>
          <w:tcPr>
            <w:tcW w:w="5960" w:type="dxa"/>
            <w:tcBorders/>
            <w:shd w:fill="FFFFFF" w:val="clear"/>
            <w:vAlign w:val="center"/>
          </w:tcPr>
          <w:p>
            <w:pPr>
              <w:pStyle w:val="TableContents"/>
              <w:bidi w:val="0"/>
              <w:spacing w:before="0" w:after="283"/>
              <w:jc w:val="both"/>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975,593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pPr>
            <w:r>
              <w:rPr/>
              <w:t>190,883</w:t>
            </w:r>
          </w:p>
        </w:tc>
        <w:tc>
          <w:tcPr>
            <w:tcW w:w="110" w:type="dxa"/>
            <w:tcBorders/>
            <w:shd w:fill="FFFFFF" w:val="clear"/>
            <w:vAlign w:val="center"/>
          </w:tcPr>
          <w:p>
            <w:pPr>
              <w:pStyle w:val="TableContents"/>
              <w:bidi w:val="0"/>
              <w:spacing w:before="0" w:after="283"/>
              <w:jc w:val="left"/>
              <w:rPr/>
            </w:pPr>
            <w:r>
              <w:rPr/>
              <w:t> </w:t>
            </w:r>
            <w:bookmarkStart w:id="146" w:name="xdx_40A_eus-gaap--ComprehensiveIncomeNet"/>
            <w:bookmarkEnd w:id="146"/>
          </w:p>
        </w:tc>
      </w:tr>
      <w:tr>
        <w:trPr/>
        <w:tc>
          <w:tcPr>
            <w:tcW w:w="5960" w:type="dxa"/>
            <w:tcBorders/>
            <w:shd w:fill="CCEEFF" w:val="clear"/>
            <w:vAlign w:val="center"/>
          </w:tcPr>
          <w:p>
            <w:pPr>
              <w:pStyle w:val="TableContents"/>
              <w:bidi w:val="0"/>
              <w:spacing w:before="0" w:after="283"/>
              <w:jc w:val="both"/>
              <w:rPr/>
            </w:pPr>
            <w:r>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700,280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2" w:type="dxa"/>
            <w:tcBorders>
              <w:bottom w:val="single" w:sz="8" w:space="0" w:color="000000"/>
            </w:tcBorders>
            <w:shd w:fill="CCEEFF" w:val="clear"/>
            <w:tcMar>
              <w:bottom w:w="28" w:type="dxa"/>
            </w:tcMar>
            <w:vAlign w:val="center"/>
          </w:tcPr>
          <w:p>
            <w:pPr>
              <w:pStyle w:val="TableContents"/>
              <w:bidi w:val="0"/>
              <w:spacing w:before="0" w:after="283"/>
              <w:jc w:val="right"/>
              <w:rPr/>
            </w:pPr>
            <w:r>
              <w:rPr/>
              <w:t>38,705</w:t>
            </w:r>
          </w:p>
        </w:tc>
        <w:tc>
          <w:tcPr>
            <w:tcW w:w="110" w:type="dxa"/>
            <w:tcBorders/>
            <w:shd w:fill="CCEEFF" w:val="clear"/>
            <w:vAlign w:val="center"/>
          </w:tcPr>
          <w:p>
            <w:pPr>
              <w:pStyle w:val="TableContents"/>
              <w:bidi w:val="0"/>
              <w:spacing w:before="0" w:after="283"/>
              <w:jc w:val="left"/>
              <w:rPr/>
            </w:pPr>
            <w:r>
              <w:rPr/>
              <w:t> </w:t>
            </w:r>
            <w:bookmarkStart w:id="147" w:name="xdx_407_eus-gaap--ComprehensiveIncomeNet"/>
            <w:bookmarkEnd w:id="147"/>
          </w:p>
        </w:tc>
      </w:tr>
      <w:tr>
        <w:trPr/>
        <w:tc>
          <w:tcPr>
            <w:tcW w:w="5960" w:type="dxa"/>
            <w:tcBorders/>
            <w:shd w:fill="FFFFFF" w:val="clear"/>
            <w:vAlign w:val="center"/>
          </w:tcPr>
          <w:p>
            <w:pPr>
              <w:pStyle w:val="TableContents"/>
              <w:bidi w:val="0"/>
              <w:spacing w:before="0" w:after="283"/>
              <w:jc w:val="both"/>
              <w:rPr/>
            </w:pPr>
            <w:r>
              <w:rPr/>
              <w:t>Comprehensive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8" w:type="dxa"/>
            <w:tcBorders>
              <w:bottom w:val="double" w:sz="6" w:space="0" w:color="000000"/>
            </w:tcBorders>
            <w:shd w:fill="FFFFFF" w:val="clear"/>
            <w:tcMar>
              <w:bottom w:w="28" w:type="dxa"/>
            </w:tcMar>
            <w:vAlign w:val="center"/>
          </w:tcPr>
          <w:p>
            <w:pPr>
              <w:pStyle w:val="TableContents"/>
              <w:bidi w:val="0"/>
              <w:spacing w:before="0" w:after="283"/>
              <w:jc w:val="right"/>
              <w:rPr/>
            </w:pPr>
            <w:r>
              <w:rPr/>
              <w:t>275,313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2" w:type="dxa"/>
            <w:tcBorders>
              <w:bottom w:val="double" w:sz="6" w:space="0" w:color="000000"/>
            </w:tcBorders>
            <w:shd w:fill="FFFFFF" w:val="clear"/>
            <w:tcMar>
              <w:bottom w:w="28" w:type="dxa"/>
            </w:tcMar>
            <w:vAlign w:val="center"/>
          </w:tcPr>
          <w:p>
            <w:pPr>
              <w:pStyle w:val="TableContents"/>
              <w:bidi w:val="0"/>
              <w:spacing w:before="0" w:after="283"/>
              <w:jc w:val="right"/>
              <w:rPr/>
            </w:pPr>
            <w:r>
              <w:rPr/>
              <w:t>152,178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8" w:name="sh_006"/>
      <w:bookmarkEnd w:id="148"/>
      <w:r>
        <w:rPr>
          <w:rFonts w:ascii="Times New Roman;Times;Serif" w:hAnsi="Times New Roman;Times;Serif"/>
          <w:b/>
          <w:i w:val="false"/>
          <w:caps w:val="false"/>
          <w:smallCaps w:val="false"/>
          <w:sz w:val="20"/>
        </w:rPr>
        <w:t>MOTORSPORT GAMES INC. AND SUBSIDIARIES</w:t>
        <w:b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9" w:name="xdx_30F_114_ztZaDNdE0fCb"/>
      <w:bookmarkStart w:id="150" w:name="xdx_30F_114_ztZaDNdE0fCb"/>
      <w:bookmarkEnd w:id="150"/>
    </w:p>
    <w:tbl>
      <w:tblPr>
        <w:tblW w:w="14420" w:type="dxa"/>
        <w:jc w:val="left"/>
        <w:tblInd w:w="0" w:type="dxa"/>
        <w:tblLayout w:type="fixed"/>
        <w:tblCellMar>
          <w:top w:w="0" w:type="dxa"/>
          <w:left w:w="0" w:type="dxa"/>
          <w:bottom w:w="0" w:type="dxa"/>
          <w:right w:w="0" w:type="dxa"/>
        </w:tblCellMar>
      </w:tblPr>
      <w:tblGrid>
        <w:gridCol w:w="1460"/>
        <w:gridCol w:w="60"/>
        <w:gridCol w:w="60"/>
        <w:gridCol w:w="980"/>
        <w:gridCol w:w="60"/>
        <w:gridCol w:w="60"/>
        <w:gridCol w:w="231"/>
        <w:gridCol w:w="629"/>
        <w:gridCol w:w="60"/>
        <w:gridCol w:w="60"/>
        <w:gridCol w:w="60"/>
        <w:gridCol w:w="800"/>
        <w:gridCol w:w="60"/>
        <w:gridCol w:w="60"/>
        <w:gridCol w:w="301"/>
        <w:gridCol w:w="559"/>
        <w:gridCol w:w="60"/>
        <w:gridCol w:w="60"/>
        <w:gridCol w:w="140"/>
        <w:gridCol w:w="1100"/>
        <w:gridCol w:w="60"/>
        <w:gridCol w:w="60"/>
        <w:gridCol w:w="145"/>
        <w:gridCol w:w="1225"/>
        <w:gridCol w:w="95"/>
        <w:gridCol w:w="60"/>
        <w:gridCol w:w="188"/>
        <w:gridCol w:w="1422"/>
        <w:gridCol w:w="95"/>
        <w:gridCol w:w="60"/>
        <w:gridCol w:w="167"/>
        <w:gridCol w:w="1173"/>
        <w:gridCol w:w="95"/>
        <w:gridCol w:w="60"/>
        <w:gridCol w:w="140"/>
        <w:gridCol w:w="980"/>
        <w:gridCol w:w="60"/>
        <w:gridCol w:w="60"/>
        <w:gridCol w:w="167"/>
        <w:gridCol w:w="1173"/>
        <w:gridCol w:w="7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1" w:name="xdx_4B1_us-gaap--StatementEquityComponen"/>
            <w:bookmarkEnd w:id="15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BF_us-gaap--StatementEquityComponen"/>
            <w:bookmarkEnd w:id="15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B2_us-gaap--StatementEquityComponen"/>
            <w:bookmarkEnd w:id="15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BF_us-gaap--StatementEquityComponen"/>
            <w:bookmarkEnd w:id="154"/>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 w:name="xdx_4B6_us-gaap--StatementEquityComponen"/>
            <w:bookmarkEnd w:id="155"/>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B4_us-gaap--StatementEquityComponen"/>
            <w:bookmarkEnd w:id="156"/>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BC_us-gaap--StatementEquityComponen"/>
            <w:bookmarkEnd w:id="15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B3_zjsOmT0xmMql"/>
            <w:bookmarkEnd w:id="15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5"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2026</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Equity</w:t>
              <w:br/>
              <w:t>Attributable to</w:t>
              <w:br/>
              <w:t>Motorsport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Non- 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jc w:val="left"/>
              <w:rPr/>
            </w:pPr>
            <w:r>
              <w:rPr/>
              <w:t> </w:t>
            </w:r>
            <w:bookmarkStart w:id="159" w:name="xdx_439_c20260101__20260331_eus-gaap--St"/>
            <w:bookmarkEnd w:id="159"/>
          </w:p>
        </w:tc>
      </w:tr>
      <w:tr>
        <w:trPr/>
        <w:tc>
          <w:tcPr>
            <w:tcW w:w="1460"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1_eus-gaap--SharesOutstanding_iS_p"/>
            <w:bookmarkEnd w:id="160"/>
          </w:p>
        </w:tc>
        <w:tc>
          <w:tcPr>
            <w:tcW w:w="980" w:type="dxa"/>
            <w:tcBorders/>
            <w:shd w:fill="CCEEFF" w:val="clear"/>
            <w:vAlign w:val="center"/>
          </w:tcPr>
          <w:p>
            <w:pPr>
              <w:pStyle w:val="TableContents"/>
              <w:bidi w:val="0"/>
              <w:spacing w:before="0" w:after="283"/>
              <w:jc w:val="right"/>
              <w:rPr/>
            </w:pPr>
            <w:r>
              <w:rPr/>
              <w:t>5,078,450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4_eus-gaap--SharesOutstanding_iS_p"/>
            <w:bookmarkEnd w:id="161"/>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95,213,629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(84,861,901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(3,576,620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6,775,682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805,549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7,581,231</w:t>
            </w:r>
          </w:p>
        </w:tc>
        <w:tc>
          <w:tcPr>
            <w:tcW w:w="75" w:type="dxa"/>
            <w:tcBorders/>
            <w:shd w:fill="CCEEFF" w:val="clear"/>
            <w:vAlign w:val="center"/>
          </w:tcPr>
          <w:p>
            <w:pPr>
              <w:pStyle w:val="TableContents"/>
              <w:bidi w:val="0"/>
              <w:spacing w:before="0" w:after="283"/>
              <w:jc w:val="left"/>
              <w:rPr/>
            </w:pPr>
            <w:r>
              <w:rPr/>
              <w:t> </w:t>
            </w:r>
            <w:bookmarkStart w:id="162" w:name="xdx_409_eus-gaap--OtherComprehensiveInco"/>
            <w:bookmarkEnd w:id="162"/>
          </w:p>
        </w:tc>
      </w:tr>
      <w:tr>
        <w:trPr/>
        <w:tc>
          <w:tcPr>
            <w:tcW w:w="146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(40,514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(40,514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24,020</w:t>
            </w:r>
          </w:p>
        </w:tc>
        <w:tc>
          <w:tcPr>
            <w:tcW w:w="75" w:type="dxa"/>
            <w:tcBorders/>
            <w:shd w:fill="FFFFFF" w:val="clear"/>
            <w:vAlign w:val="center"/>
          </w:tcPr>
          <w:p>
            <w:pPr>
              <w:pStyle w:val="TableContents"/>
              <w:bidi w:val="0"/>
              <w:spacing w:before="0" w:after="283"/>
              <w:jc w:val="left"/>
              <w:rPr/>
            </w:pPr>
            <w:r>
              <w:rPr/>
              <w:t> </w:t>
            </w:r>
            <w:bookmarkStart w:id="163" w:name="xdx_402_eus-gaap--ProfitLoss_z1T0pMidldp"/>
            <w:bookmarkEnd w:id="163"/>
          </w:p>
        </w:tc>
      </w:tr>
      <w:tr>
        <w:trPr/>
        <w:tc>
          <w:tcPr>
            <w:tcW w:w="146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315,827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315,827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635,746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951,573</w:t>
            </w:r>
          </w:p>
        </w:tc>
        <w:tc>
          <w:tcPr>
            <w:tcW w:w="75" w:type="dxa"/>
            <w:tcBorders/>
            <w:shd w:fill="CCEEFF" w:val="clear"/>
            <w:vAlign w:val="center"/>
          </w:tcPr>
          <w:p>
            <w:pPr>
              <w:pStyle w:val="TableContents"/>
              <w:bidi w:val="0"/>
              <w:spacing w:before="0" w:after="283"/>
              <w:jc w:val="left"/>
              <w:rPr/>
            </w:pPr>
            <w:r>
              <w:rPr/>
              <w:t> </w:t>
            </w:r>
            <w:bookmarkStart w:id="164" w:name="xdx_43B_c20260101__20260331_eus-gaap--St"/>
            <w:bookmarkEnd w:id="164"/>
          </w:p>
        </w:tc>
      </w:tr>
      <w:tr>
        <w:trPr/>
        <w:tc>
          <w:tcPr>
            <w:tcW w:w="1460"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5" w:name="xdx_980_eus-gaap--SharesOutstanding_iE_p"/>
            <w:bookmarkEnd w:id="16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5,078,450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6" w:name="xdx_98F_eus-gaap--SharesOutstanding_iE_p"/>
            <w:bookmarkEnd w:id="166"/>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95,213,629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(84,546,074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pPr>
            <w:r>
              <w:rPr/>
              <w:t>(3,617,134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7,050,995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1,505,829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8,556,824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4310" w:type="dxa"/>
        <w:jc w:val="left"/>
        <w:tblInd w:w="0" w:type="dxa"/>
        <w:tblLayout w:type="fixed"/>
        <w:tblCellMar>
          <w:top w:w="0" w:type="dxa"/>
          <w:left w:w="0" w:type="dxa"/>
          <w:bottom w:w="0" w:type="dxa"/>
          <w:right w:w="0" w:type="dxa"/>
        </w:tblCellMar>
      </w:tblPr>
      <w:tblGrid>
        <w:gridCol w:w="1460"/>
        <w:gridCol w:w="60"/>
        <w:gridCol w:w="60"/>
        <w:gridCol w:w="980"/>
        <w:gridCol w:w="60"/>
        <w:gridCol w:w="60"/>
        <w:gridCol w:w="231"/>
        <w:gridCol w:w="629"/>
        <w:gridCol w:w="60"/>
        <w:gridCol w:w="60"/>
        <w:gridCol w:w="60"/>
        <w:gridCol w:w="800"/>
        <w:gridCol w:w="60"/>
        <w:gridCol w:w="60"/>
        <w:gridCol w:w="301"/>
        <w:gridCol w:w="559"/>
        <w:gridCol w:w="60"/>
        <w:gridCol w:w="60"/>
        <w:gridCol w:w="140"/>
        <w:gridCol w:w="1100"/>
        <w:gridCol w:w="60"/>
        <w:gridCol w:w="60"/>
        <w:gridCol w:w="145"/>
        <w:gridCol w:w="1225"/>
        <w:gridCol w:w="95"/>
        <w:gridCol w:w="60"/>
        <w:gridCol w:w="188"/>
        <w:gridCol w:w="1422"/>
        <w:gridCol w:w="95"/>
        <w:gridCol w:w="60"/>
        <w:gridCol w:w="167"/>
        <w:gridCol w:w="1173"/>
        <w:gridCol w:w="95"/>
        <w:gridCol w:w="60"/>
        <w:gridCol w:w="140"/>
        <w:gridCol w:w="800"/>
        <w:gridCol w:w="95"/>
        <w:gridCol w:w="60"/>
        <w:gridCol w:w="167"/>
        <w:gridCol w:w="1173"/>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2025</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Equity</w:t>
              <w:br/>
              <w:t>Attributable to</w:t>
              <w:br/>
              <w:t>Motorsport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Non- 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Games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67" w:name="xdx_43E_c20250101__20250331_eus-gaap--St"/>
            <w:bookmarkEnd w:id="167"/>
          </w:p>
        </w:tc>
      </w:tr>
      <w:tr>
        <w:trPr/>
        <w:tc>
          <w:tcPr>
            <w:tcW w:w="1460"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0_eus-gaap--SharesOutstanding_iS_p"/>
            <w:bookmarkEnd w:id="168"/>
          </w:p>
        </w:tc>
        <w:tc>
          <w:tcPr>
            <w:tcW w:w="980" w:type="dxa"/>
            <w:tcBorders/>
            <w:shd w:fill="CCEEFF" w:val="clear"/>
            <w:vAlign w:val="center"/>
          </w:tcPr>
          <w:p>
            <w:pPr>
              <w:pStyle w:val="TableContents"/>
              <w:bidi w:val="0"/>
              <w:spacing w:before="0" w:after="283"/>
              <w:jc w:val="right"/>
              <w:rPr/>
            </w:pPr>
            <w:r>
              <w:rPr/>
              <w:t>3,183,558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C_eus-gaap--SharesOutstanding_iS_p"/>
            <w:bookmarkEnd w:id="169"/>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92,960,275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(91,789,968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(674,434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496,258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729,744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1,226,002</w:t>
            </w:r>
          </w:p>
        </w:tc>
        <w:tc>
          <w:tcPr>
            <w:tcW w:w="110" w:type="dxa"/>
            <w:tcBorders/>
            <w:shd w:fill="CCEEFF" w:val="clear"/>
            <w:vAlign w:val="center"/>
          </w:tcPr>
          <w:p>
            <w:pPr>
              <w:pStyle w:val="TableContents"/>
              <w:bidi w:val="0"/>
              <w:spacing w:before="0" w:after="283"/>
              <w:jc w:val="left"/>
              <w:rPr/>
            </w:pPr>
            <w:r>
              <w:rPr/>
              <w:t> </w:t>
            </w:r>
            <w:bookmarkStart w:id="170" w:name="xdx_43F_c20250101__20250331_eus-gaap--St"/>
            <w:bookmarkEnd w:id="170"/>
          </w:p>
        </w:tc>
      </w:tr>
      <w:tr>
        <w:trPr/>
        <w:tc>
          <w:tcPr>
            <w:tcW w:w="1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7_eus-gaap--SharesOutstanding_iS_p"/>
            <w:bookmarkEnd w:id="171"/>
          </w:p>
        </w:tc>
        <w:tc>
          <w:tcPr>
            <w:tcW w:w="980" w:type="dxa"/>
            <w:tcBorders/>
            <w:shd w:fill="CCEEFF" w:val="clear"/>
            <w:vAlign w:val="center"/>
          </w:tcPr>
          <w:p>
            <w:pPr>
              <w:pStyle w:val="TableContents"/>
              <w:bidi w:val="0"/>
              <w:spacing w:before="0" w:after="283"/>
              <w:jc w:val="right"/>
              <w:rPr/>
            </w:pPr>
            <w:r>
              <w:rPr/>
              <w:t>3,183,558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9_eus-gaap--SharesOutstanding_iS_p"/>
            <w:bookmarkEnd w:id="172"/>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92,960,275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(91,789,968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(674,434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496,258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729,744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1,226,002</w:t>
            </w:r>
          </w:p>
        </w:tc>
        <w:tc>
          <w:tcPr>
            <w:tcW w:w="110" w:type="dxa"/>
            <w:tcBorders/>
            <w:shd w:fill="CCEEFF" w:val="clear"/>
            <w:vAlign w:val="center"/>
          </w:tcPr>
          <w:p>
            <w:pPr>
              <w:pStyle w:val="TableContents"/>
              <w:bidi w:val="0"/>
              <w:spacing w:before="0" w:after="283"/>
              <w:jc w:val="left"/>
              <w:rPr/>
            </w:pPr>
            <w:r>
              <w:rPr/>
              <w:t> </w:t>
            </w:r>
            <w:bookmarkStart w:id="173" w:name="xdx_409_eus-gaap--OtherComprehensiveInco"/>
            <w:bookmarkEnd w:id="173"/>
          </w:p>
        </w:tc>
      </w:tr>
      <w:tr>
        <w:trPr/>
        <w:tc>
          <w:tcPr>
            <w:tcW w:w="146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(888,880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(888,880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(831,730</w:t>
            </w:r>
          </w:p>
        </w:tc>
        <w:tc>
          <w:tcPr>
            <w:tcW w:w="110" w:type="dxa"/>
            <w:tcBorders/>
            <w:shd w:fill="FFFFFF" w:val="clear"/>
            <w:vAlign w:val="center"/>
          </w:tcPr>
          <w:p>
            <w:pPr>
              <w:pStyle w:val="TableContents"/>
              <w:bidi w:val="0"/>
              <w:spacing w:before="0" w:after="283"/>
              <w:jc w:val="left"/>
              <w:rPr/>
            </w:pPr>
            <w:r>
              <w:rPr/>
              <w:t>)</w:t>
            </w:r>
            <w:bookmarkStart w:id="174" w:name="xdx_402_eus-gaap--ProfitLoss_zcvdAOcBSnJ"/>
            <w:bookmarkEnd w:id="174"/>
          </w:p>
        </w:tc>
      </w:tr>
      <w:tr>
        <w:trPr/>
        <w:tc>
          <w:tcPr>
            <w:tcW w:w="1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1,041,058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1,041,058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1,022,613</w:t>
            </w:r>
          </w:p>
        </w:tc>
        <w:tc>
          <w:tcPr>
            <w:tcW w:w="110" w:type="dxa"/>
            <w:tcBorders/>
            <w:shd w:fill="CCEEFF" w:val="clear"/>
            <w:vAlign w:val="center"/>
          </w:tcPr>
          <w:p>
            <w:pPr>
              <w:pStyle w:val="TableContents"/>
              <w:bidi w:val="0"/>
              <w:spacing w:before="0" w:after="283"/>
              <w:jc w:val="left"/>
              <w:rPr/>
            </w:pPr>
            <w:r>
              <w:rPr/>
              <w:t> </w:t>
            </w:r>
            <w:bookmarkStart w:id="175" w:name="xdx_43C_c20250101__20250331_eus-gaap--St"/>
            <w:bookmarkEnd w:id="175"/>
          </w:p>
        </w:tc>
      </w:tr>
      <w:tr>
        <w:trPr/>
        <w:tc>
          <w:tcPr>
            <w:tcW w:w="1460" w:type="dxa"/>
            <w:tcBorders/>
            <w:shd w:fill="FFFFFF" w:val="clear"/>
            <w:vAlign w:val="center"/>
          </w:tcPr>
          <w:p>
            <w:pPr>
              <w:pStyle w:val="TableContents"/>
              <w:bidi w:val="0"/>
              <w:spacing w:before="0" w:after="283"/>
              <w:jc w:val="left"/>
              <w:rPr>
                <w:b/>
              </w:rPr>
            </w:pPr>
            <w:r>
              <w:rPr>
                <w:b/>
              </w:rPr>
              <w:t>Balance –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2_eus-gaap--SharesOutstanding_iE_p"/>
            <w:bookmarkEnd w:id="17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3,183,558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7" w:name="xdx_98F_eus-gaap--SharesOutstanding_iE_p"/>
            <w:bookmarkEnd w:id="17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92,960,275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(90,748,910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pPr>
            <w:r>
              <w:rPr/>
              <w:t>(1,563,314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648,436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768,449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1,416,885</w:t>
            </w:r>
          </w:p>
        </w:tc>
        <w:tc>
          <w:tcPr>
            <w:tcW w:w="110" w:type="dxa"/>
            <w:tcBorders/>
            <w:shd w:fill="FFFFFF" w:val="clear"/>
            <w:vAlign w:val="center"/>
          </w:tcPr>
          <w:p>
            <w:pPr>
              <w:pStyle w:val="TableContents"/>
              <w:bidi w:val="0"/>
              <w:spacing w:before="0" w:after="283"/>
              <w:jc w:val="left"/>
              <w:rPr/>
            </w:pPr>
            <w:r>
              <w:rPr/>
              <w:t> </w:t>
            </w:r>
            <w:bookmarkStart w:id="178" w:name="xdx_439_c20250101__20250331_eus-gaap--St"/>
            <w:bookmarkEnd w:id="178"/>
          </w:p>
        </w:tc>
      </w:tr>
      <w:tr>
        <w:trPr/>
        <w:tc>
          <w:tcPr>
            <w:tcW w:w="1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9" w:name="xdx_987_eus-gaap--SharesOutstanding_iE_p"/>
            <w:bookmarkEnd w:id="1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3,183,558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 w:name="xdx_98E_eus-gaap--SharesOutstanding_iE_p"/>
            <w:bookmarkEnd w:id="180"/>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92,960,275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(90,748,910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pPr>
            <w:r>
              <w:rPr/>
              <w:t>(1,563,314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648,436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768,449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1,416,885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1" w:name="sh_007"/>
      <w:bookmarkEnd w:id="181"/>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2" w:name="xdx_302_112_zxPeTCdsFUr1"/>
      <w:bookmarkStart w:id="183" w:name="xdx_302_112_zxPeTCdsFUr1"/>
      <w:bookmarkEnd w:id="183"/>
    </w:p>
    <w:tbl>
      <w:tblPr>
        <w:tblW w:w="10205" w:type="dxa"/>
        <w:jc w:val="left"/>
        <w:tblInd w:w="0" w:type="dxa"/>
        <w:tblLayout w:type="fixed"/>
        <w:tblCellMar>
          <w:top w:w="0" w:type="dxa"/>
          <w:left w:w="0" w:type="dxa"/>
          <w:bottom w:w="0" w:type="dxa"/>
          <w:right w:w="0" w:type="dxa"/>
        </w:tblCellMar>
      </w:tblPr>
      <w:tblGrid>
        <w:gridCol w:w="6311"/>
        <w:gridCol w:w="60"/>
        <w:gridCol w:w="217"/>
        <w:gridCol w:w="1524"/>
        <w:gridCol w:w="147"/>
        <w:gridCol w:w="93"/>
        <w:gridCol w:w="217"/>
        <w:gridCol w:w="1524"/>
        <w:gridCol w:w="112"/>
      </w:tblGrid>
      <w:tr>
        <w:trPr/>
        <w:tc>
          <w:tcPr>
            <w:tcW w:w="6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4" w:name="xdx_499_20260101__20260331_zM4rqJAph3c8"/>
            <w:bookmarkEnd w:id="184"/>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185" w:name="xdx_499_20250101__20250331_zG6HI5uN0Cue"/>
            <w:bookmarkEnd w:id="185"/>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186" w:name="xdx_40D_eus-gaap--NetCashProvidedByUsedI"/>
            <w:bookmarkEnd w:id="186"/>
          </w:p>
        </w:tc>
      </w:tr>
      <w:tr>
        <w:trPr/>
        <w:tc>
          <w:tcPr>
            <w:tcW w:w="631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7" w:name="xdx_407_eus-gaap--ProfitLoss_i01_pp0p0_m"/>
            <w:bookmarkEnd w:id="187"/>
          </w:p>
        </w:tc>
      </w:tr>
      <w:tr>
        <w:trPr/>
        <w:tc>
          <w:tcPr>
            <w:tcW w:w="6311"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524" w:type="dxa"/>
            <w:tcBorders/>
            <w:shd w:fill="FFFFFF" w:val="clear"/>
            <w:vAlign w:val="center"/>
          </w:tcPr>
          <w:p>
            <w:pPr>
              <w:pStyle w:val="TableContents"/>
              <w:bidi w:val="0"/>
              <w:spacing w:before="0" w:after="283"/>
              <w:jc w:val="right"/>
              <w:rPr/>
            </w:pPr>
            <w:r>
              <w:rPr/>
              <w:t>951,573</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524" w:type="dxa"/>
            <w:tcBorders/>
            <w:shd w:fill="FFFFFF" w:val="clear"/>
            <w:vAlign w:val="center"/>
          </w:tcPr>
          <w:p>
            <w:pPr>
              <w:pStyle w:val="TableContents"/>
              <w:bidi w:val="0"/>
              <w:spacing w:before="0" w:after="283"/>
              <w:jc w:val="right"/>
              <w:rPr/>
            </w:pPr>
            <w:r>
              <w:rPr/>
              <w:t>1,022,613</w:t>
            </w:r>
          </w:p>
        </w:tc>
        <w:tc>
          <w:tcPr>
            <w:tcW w:w="112" w:type="dxa"/>
            <w:tcBorders/>
            <w:shd w:fill="FFFFFF" w:val="clear"/>
            <w:vAlign w:val="center"/>
          </w:tcPr>
          <w:p>
            <w:pPr>
              <w:pStyle w:val="TableContents"/>
              <w:bidi w:val="0"/>
              <w:spacing w:before="0" w:after="283"/>
              <w:jc w:val="left"/>
              <w:rPr/>
            </w:pPr>
            <w:r>
              <w:rPr/>
              <w:t> </w:t>
            </w:r>
            <w:bookmarkStart w:id="188" w:name="xdx_403_eus-gaap--AdjustmentsToReconcile"/>
            <w:bookmarkEnd w:id="188"/>
          </w:p>
        </w:tc>
      </w:tr>
      <w:tr>
        <w:trPr/>
        <w:tc>
          <w:tcPr>
            <w:tcW w:w="6311" w:type="dxa"/>
            <w:tcBorders/>
            <w:shd w:fill="CCEE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9" w:name="xdx_40C_eus-gaap--ForeignCurrencyTransac"/>
            <w:bookmarkEnd w:id="189"/>
          </w:p>
        </w:tc>
      </w:tr>
      <w:tr>
        <w:trPr/>
        <w:tc>
          <w:tcPr>
            <w:tcW w:w="6311" w:type="dxa"/>
            <w:tcBorders/>
            <w:shd w:fill="FFFFFF" w:val="clear"/>
            <w:vAlign w:val="center"/>
          </w:tcPr>
          <w:p>
            <w:pPr>
              <w:pStyle w:val="TableContents"/>
              <w:bidi w:val="0"/>
              <w:spacing w:before="0" w:after="283"/>
              <w:jc w:val="left"/>
              <w:rPr/>
            </w:pPr>
            <w:r>
              <w:rPr/>
              <w:t>Gain on foreign currency exchange rates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(52,009</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(974,763</w:t>
            </w:r>
          </w:p>
        </w:tc>
        <w:tc>
          <w:tcPr>
            <w:tcW w:w="112" w:type="dxa"/>
            <w:tcBorders/>
            <w:shd w:fill="FFFFFF" w:val="clear"/>
            <w:vAlign w:val="center"/>
          </w:tcPr>
          <w:p>
            <w:pPr>
              <w:pStyle w:val="TableContents"/>
              <w:bidi w:val="0"/>
              <w:spacing w:before="0" w:after="283"/>
              <w:jc w:val="left"/>
              <w:rPr/>
            </w:pPr>
            <w:r>
              <w:rPr/>
              <w:t>)</w:t>
            </w:r>
            <w:bookmarkStart w:id="190" w:name="xdx_40C_eus-gaap--DepreciationDepletionA"/>
            <w:bookmarkEnd w:id="190"/>
          </w:p>
        </w:tc>
      </w:tr>
      <w:tr>
        <w:trPr/>
        <w:tc>
          <w:tcPr>
            <w:tcW w:w="6311"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176,049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252,057</w:t>
            </w:r>
          </w:p>
        </w:tc>
        <w:tc>
          <w:tcPr>
            <w:tcW w:w="112" w:type="dxa"/>
            <w:tcBorders/>
            <w:shd w:fill="CCEEFF" w:val="clear"/>
            <w:vAlign w:val="center"/>
          </w:tcPr>
          <w:p>
            <w:pPr>
              <w:pStyle w:val="TableContents"/>
              <w:bidi w:val="0"/>
              <w:spacing w:before="0" w:after="283"/>
              <w:jc w:val="left"/>
              <w:rPr/>
            </w:pPr>
            <w:r>
              <w:rPr/>
              <w:t> </w:t>
            </w:r>
            <w:bookmarkStart w:id="191" w:name="xdx_40C_ecustom--GainFromSettlementOfPur"/>
            <w:bookmarkEnd w:id="191"/>
          </w:p>
        </w:tc>
      </w:tr>
      <w:tr>
        <w:trPr/>
        <w:tc>
          <w:tcPr>
            <w:tcW w:w="6311" w:type="dxa"/>
            <w:tcBorders/>
            <w:shd w:fill="FFFFFF" w:val="clear"/>
            <w:vAlign w:val="center"/>
          </w:tcPr>
          <w:p>
            <w:pPr>
              <w:pStyle w:val="TableContents"/>
              <w:bidi w:val="0"/>
              <w:spacing w:before="0" w:after="283"/>
              <w:jc w:val="left"/>
              <w:rPr/>
            </w:pPr>
            <w:r>
              <w:rPr/>
              <w:t>Gain from settlement of purchase commitment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(175,460</w:t>
            </w:r>
          </w:p>
        </w:tc>
        <w:tc>
          <w:tcPr>
            <w:tcW w:w="112" w:type="dxa"/>
            <w:tcBorders/>
            <w:shd w:fill="FFFFFF" w:val="clear"/>
            <w:vAlign w:val="center"/>
          </w:tcPr>
          <w:p>
            <w:pPr>
              <w:pStyle w:val="TableContents"/>
              <w:bidi w:val="0"/>
              <w:spacing w:before="0" w:after="283"/>
              <w:jc w:val="left"/>
              <w:rPr/>
            </w:pPr>
            <w:r>
              <w:rPr/>
              <w:t>)</w:t>
            </w:r>
            <w:bookmarkStart w:id="192" w:name="xdx_40C_ecustom--PurchaseCommitmentAndLi"/>
            <w:bookmarkEnd w:id="192"/>
          </w:p>
        </w:tc>
      </w:tr>
      <w:tr>
        <w:trPr/>
        <w:tc>
          <w:tcPr>
            <w:tcW w:w="6311" w:type="dxa"/>
            <w:tcBorders/>
            <w:shd w:fill="CCEEFF" w:val="clear"/>
            <w:vAlign w:val="center"/>
          </w:tcPr>
          <w:p>
            <w:pPr>
              <w:pStyle w:val="TableContents"/>
              <w:bidi w:val="0"/>
              <w:spacing w:before="0" w:after="283"/>
              <w:jc w:val="left"/>
              <w:rPr/>
            </w:pPr>
            <w:r>
              <w:rPr/>
              <w:t>Purchase commitment and license liability interest accretion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7,262</w:t>
            </w:r>
          </w:p>
        </w:tc>
        <w:tc>
          <w:tcPr>
            <w:tcW w:w="112" w:type="dxa"/>
            <w:tcBorders/>
            <w:shd w:fill="CCEEFF" w:val="clear"/>
            <w:vAlign w:val="center"/>
          </w:tcPr>
          <w:p>
            <w:pPr>
              <w:pStyle w:val="TableContents"/>
              <w:bidi w:val="0"/>
              <w:spacing w:before="0" w:after="283"/>
              <w:jc w:val="left"/>
              <w:rPr/>
            </w:pPr>
            <w:r>
              <w:rPr/>
              <w:t> </w:t>
            </w:r>
            <w:bookmarkStart w:id="193" w:name="xdx_404_ecustom--NoncashLeaseExpense_i02"/>
            <w:bookmarkEnd w:id="193"/>
          </w:p>
        </w:tc>
      </w:tr>
      <w:tr>
        <w:trPr/>
        <w:tc>
          <w:tcPr>
            <w:tcW w:w="6311"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8,400</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7,442</w:t>
            </w:r>
          </w:p>
        </w:tc>
        <w:tc>
          <w:tcPr>
            <w:tcW w:w="112" w:type="dxa"/>
            <w:tcBorders/>
            <w:shd w:fill="FFFFFF" w:val="clear"/>
            <w:vAlign w:val="center"/>
          </w:tcPr>
          <w:p>
            <w:pPr>
              <w:pStyle w:val="TableContents"/>
              <w:bidi w:val="0"/>
              <w:spacing w:before="0" w:after="283"/>
              <w:jc w:val="left"/>
              <w:rPr/>
            </w:pPr>
            <w:r>
              <w:rPr/>
              <w:t> </w:t>
            </w:r>
            <w:bookmarkStart w:id="194" w:name="xdx_40A_eus-gaap--ImpairmentOfIntangible"/>
            <w:bookmarkEnd w:id="194"/>
          </w:p>
        </w:tc>
      </w:tr>
      <w:tr>
        <w:trPr/>
        <w:tc>
          <w:tcPr>
            <w:tcW w:w="6311" w:type="dxa"/>
            <w:tcBorders/>
            <w:shd w:fill="CCEEFF" w:val="clear"/>
            <w:vAlign w:val="center"/>
          </w:tcPr>
          <w:p>
            <w:pPr>
              <w:pStyle w:val="TableContents"/>
              <w:bidi w:val="0"/>
              <w:spacing w:before="0" w:after="283"/>
              <w:jc w:val="left"/>
              <w:rPr/>
            </w:pPr>
            <w:r>
              <w:rPr/>
              <w:t>Loss on impairment of intangible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27,928</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95" w:name="xdx_408_eus-gaap--ShareBasedCompensation"/>
            <w:bookmarkEnd w:id="195"/>
          </w:p>
        </w:tc>
      </w:tr>
      <w:tr>
        <w:trPr/>
        <w:tc>
          <w:tcPr>
            <w:tcW w:w="631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375,031</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96" w:name="xdx_40D_eus-gaap--FairValueAdjustmentOfW"/>
            <w:bookmarkEnd w:id="196"/>
          </w:p>
        </w:tc>
      </w:tr>
      <w:tr>
        <w:trPr/>
        <w:tc>
          <w:tcPr>
            <w:tcW w:w="6311" w:type="dxa"/>
            <w:tcBorders/>
            <w:shd w:fill="CCEEFF" w:val="clear"/>
            <w:vAlign w:val="center"/>
          </w:tcPr>
          <w:p>
            <w:pPr>
              <w:pStyle w:val="TableContents"/>
              <w:bidi w:val="0"/>
              <w:spacing w:before="0" w:after="283"/>
              <w:jc w:val="left"/>
              <w:rPr/>
            </w:pPr>
            <w:r>
              <w:rPr/>
              <w:t>Changes in the fair value of warrants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18,299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(2,543</w:t>
            </w:r>
          </w:p>
        </w:tc>
        <w:tc>
          <w:tcPr>
            <w:tcW w:w="112" w:type="dxa"/>
            <w:tcBorders/>
            <w:shd w:fill="CCEEFF" w:val="clear"/>
            <w:vAlign w:val="center"/>
          </w:tcPr>
          <w:p>
            <w:pPr>
              <w:pStyle w:val="TableContents"/>
              <w:bidi w:val="0"/>
              <w:spacing w:before="0" w:after="283"/>
              <w:jc w:val="left"/>
              <w:rPr/>
            </w:pPr>
            <w:r>
              <w:rPr/>
              <w:t>)</w:t>
            </w:r>
            <w:bookmarkStart w:id="197" w:name="xdx_40A_eus-gaap--IncreaseDecreaseInOper"/>
            <w:bookmarkEnd w:id="197"/>
          </w:p>
        </w:tc>
      </w:tr>
      <w:tr>
        <w:trPr/>
        <w:tc>
          <w:tcPr>
            <w:tcW w:w="6311"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98" w:name="xdx_408_eus-gaap--IncreaseDecreaseInAcco"/>
            <w:bookmarkEnd w:id="198"/>
          </w:p>
        </w:tc>
      </w:tr>
      <w:tr>
        <w:trPr/>
        <w:tc>
          <w:tcPr>
            <w:tcW w:w="631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(38,816</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600,449</w:t>
            </w:r>
          </w:p>
        </w:tc>
        <w:tc>
          <w:tcPr>
            <w:tcW w:w="112" w:type="dxa"/>
            <w:tcBorders/>
            <w:shd w:fill="CCEEFF" w:val="clear"/>
            <w:vAlign w:val="center"/>
          </w:tcPr>
          <w:p>
            <w:pPr>
              <w:pStyle w:val="TableContents"/>
              <w:bidi w:val="0"/>
              <w:spacing w:before="0" w:after="283"/>
              <w:jc w:val="left"/>
              <w:rPr/>
            </w:pPr>
            <w:r>
              <w:rPr/>
              <w:t> </w:t>
            </w:r>
            <w:bookmarkStart w:id="199" w:name="xdx_40C_eus-gaap--IncreaseDecreaseInOper"/>
            <w:bookmarkEnd w:id="199"/>
          </w:p>
        </w:tc>
      </w:tr>
      <w:tr>
        <w:trPr/>
        <w:tc>
          <w:tcPr>
            <w:tcW w:w="6311"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(8,557</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(7,752</w:t>
            </w:r>
          </w:p>
        </w:tc>
        <w:tc>
          <w:tcPr>
            <w:tcW w:w="112" w:type="dxa"/>
            <w:tcBorders/>
            <w:shd w:fill="FFFFFF" w:val="clear"/>
            <w:vAlign w:val="center"/>
          </w:tcPr>
          <w:p>
            <w:pPr>
              <w:pStyle w:val="TableContents"/>
              <w:bidi w:val="0"/>
              <w:spacing w:before="0" w:after="283"/>
              <w:jc w:val="left"/>
              <w:rPr/>
            </w:pPr>
            <w:r>
              <w:rPr/>
              <w:t>)</w:t>
            </w:r>
            <w:bookmarkStart w:id="200" w:name="xdx_403_eus-gaap--IncreaseDecreaseInPrep"/>
            <w:bookmarkEnd w:id="200"/>
          </w:p>
        </w:tc>
      </w:tr>
      <w:tr>
        <w:trPr/>
        <w:tc>
          <w:tcPr>
            <w:tcW w:w="6311"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(242,045</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(233,566</w:t>
            </w:r>
          </w:p>
        </w:tc>
        <w:tc>
          <w:tcPr>
            <w:tcW w:w="112" w:type="dxa"/>
            <w:tcBorders/>
            <w:shd w:fill="CCEEFF" w:val="clear"/>
            <w:vAlign w:val="center"/>
          </w:tcPr>
          <w:p>
            <w:pPr>
              <w:pStyle w:val="TableContents"/>
              <w:bidi w:val="0"/>
              <w:spacing w:before="0" w:after="283"/>
              <w:jc w:val="left"/>
              <w:rPr/>
            </w:pPr>
            <w:r>
              <w:rPr/>
              <w:t>)</w:t>
            </w:r>
            <w:bookmarkStart w:id="201" w:name="xdx_401_eus-gaap--IncreaseDecreaseInAcco"/>
            <w:bookmarkEnd w:id="201"/>
          </w:p>
        </w:tc>
      </w:tr>
      <w:tr>
        <w:trPr/>
        <w:tc>
          <w:tcPr>
            <w:tcW w:w="631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275,527</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(261,793</w:t>
            </w:r>
          </w:p>
        </w:tc>
        <w:tc>
          <w:tcPr>
            <w:tcW w:w="112" w:type="dxa"/>
            <w:tcBorders/>
            <w:shd w:fill="FFFFFF" w:val="clear"/>
            <w:vAlign w:val="center"/>
          </w:tcPr>
          <w:p>
            <w:pPr>
              <w:pStyle w:val="TableContents"/>
              <w:bidi w:val="0"/>
              <w:spacing w:before="0" w:after="283"/>
              <w:jc w:val="left"/>
              <w:rPr/>
            </w:pPr>
            <w:r>
              <w:rPr/>
              <w:t>)</w:t>
            </w:r>
            <w:bookmarkStart w:id="202" w:name="xdx_40D_eus-gaap--IncreaseDecreaseInDefe"/>
            <w:bookmarkEnd w:id="202"/>
          </w:p>
        </w:tc>
      </w:tr>
      <w:tr>
        <w:trPr/>
        <w:tc>
          <w:tcPr>
            <w:tcW w:w="6311"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(208,674</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111,136</w:t>
            </w:r>
          </w:p>
        </w:tc>
        <w:tc>
          <w:tcPr>
            <w:tcW w:w="112" w:type="dxa"/>
            <w:tcBorders/>
            <w:shd w:fill="CCEEFF" w:val="clear"/>
            <w:vAlign w:val="center"/>
          </w:tcPr>
          <w:p>
            <w:pPr>
              <w:pStyle w:val="TableContents"/>
              <w:bidi w:val="0"/>
              <w:spacing w:before="0" w:after="283"/>
              <w:jc w:val="left"/>
              <w:rPr/>
            </w:pPr>
            <w:r>
              <w:rPr/>
              <w:t> </w:t>
            </w:r>
            <w:bookmarkStart w:id="203" w:name="xdx_407_eus-gaap--IncreaseDecreaseInDueT"/>
            <w:bookmarkEnd w:id="203"/>
          </w:p>
        </w:tc>
      </w:tr>
      <w:tr>
        <w:trPr/>
        <w:tc>
          <w:tcPr>
            <w:tcW w:w="6311"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(13,019</w:t>
            </w:r>
          </w:p>
        </w:tc>
        <w:tc>
          <w:tcPr>
            <w:tcW w:w="112" w:type="dxa"/>
            <w:tcBorders/>
            <w:shd w:fill="FFFFFF" w:val="clear"/>
            <w:vAlign w:val="center"/>
          </w:tcPr>
          <w:p>
            <w:pPr>
              <w:pStyle w:val="TableContents"/>
              <w:bidi w:val="0"/>
              <w:spacing w:before="0" w:after="283"/>
              <w:jc w:val="left"/>
              <w:rPr/>
            </w:pPr>
            <w:r>
              <w:rPr/>
              <w:t>)</w:t>
            </w:r>
            <w:bookmarkStart w:id="204" w:name="xdx_40A_eus-gaap--IncreaseDecreaseInAccr"/>
            <w:bookmarkEnd w:id="204"/>
          </w:p>
        </w:tc>
      </w:tr>
      <w:tr>
        <w:trPr/>
        <w:tc>
          <w:tcPr>
            <w:tcW w:w="6311"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367,141</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44,739</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5" w:name="xdx_400_eus-gaap--NetCashProvidedByUsedI"/>
            <w:bookmarkEnd w:id="205"/>
          </w:p>
        </w:tc>
      </w:tr>
      <w:tr>
        <w:trPr/>
        <w:tc>
          <w:tcPr>
            <w:tcW w:w="6311" w:type="dxa"/>
            <w:tcBorders/>
            <w:shd w:fill="CCEEFF" w:val="clear"/>
            <w:vAlign w:val="center"/>
          </w:tcPr>
          <w:p>
            <w:pPr>
              <w:pStyle w:val="TableContents"/>
              <w:bidi w:val="0"/>
              <w:spacing w:before="0" w:after="283"/>
              <w:jc w:val="left"/>
              <w:rPr>
                <w:b/>
              </w:rPr>
            </w:pPr>
            <w:r>
              <w:rPr>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1,649,847</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376,802</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6" w:name="xdx_40E_eus-gaap--NetCashProvidedByUsedI"/>
            <w:bookmarkEnd w:id="206"/>
          </w:p>
        </w:tc>
      </w:tr>
      <w:tr>
        <w:trPr/>
        <w:tc>
          <w:tcPr>
            <w:tcW w:w="6311"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7" w:name="xdx_407_eus-gaap--PaymentsToDevelopSoftw"/>
            <w:bookmarkEnd w:id="207"/>
          </w:p>
        </w:tc>
      </w:tr>
      <w:tr>
        <w:trPr/>
        <w:tc>
          <w:tcPr>
            <w:tcW w:w="6311" w:type="dxa"/>
            <w:tcBorders/>
            <w:shd w:fill="FFFFFF" w:val="clear"/>
            <w:vAlign w:val="center"/>
          </w:tcPr>
          <w:p>
            <w:pPr>
              <w:pStyle w:val="TableContents"/>
              <w:bidi w:val="0"/>
              <w:spacing w:before="0" w:after="283"/>
              <w:jc w:val="left"/>
              <w:rPr/>
            </w:pPr>
            <w:r>
              <w:rPr/>
              <w:t>Investment in internally-developed software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(628,644</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8" w:name="xdx_402_eus-gaap--PaymentsToAcquirePrope"/>
            <w:bookmarkEnd w:id="208"/>
          </w:p>
        </w:tc>
      </w:tr>
      <w:tr>
        <w:trPr/>
        <w:tc>
          <w:tcPr>
            <w:tcW w:w="6311"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(21,577</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9" w:name="xdx_408_eus-gaap--NetCashProvidedByUsedI"/>
            <w:bookmarkEnd w:id="209"/>
          </w:p>
        </w:tc>
      </w:tr>
      <w:tr>
        <w:trPr/>
        <w:tc>
          <w:tcPr>
            <w:tcW w:w="6311"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(650,221</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0" w:name="xdx_40F_eus-gaap--NetCashProvidedByUsedI"/>
            <w:bookmarkEnd w:id="210"/>
          </w:p>
        </w:tc>
      </w:tr>
      <w:tr>
        <w:trPr/>
        <w:tc>
          <w:tcPr>
            <w:tcW w:w="6311"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1" w:name="xdx_40D_eus-gaap--RepaymentsOfNotesPayab"/>
            <w:bookmarkEnd w:id="211"/>
          </w:p>
        </w:tc>
      </w:tr>
      <w:tr>
        <w:trPr/>
        <w:tc>
          <w:tcPr>
            <w:tcW w:w="6311" w:type="dxa"/>
            <w:tcBorders/>
            <w:shd w:fill="FFFFFF" w:val="clear"/>
            <w:vAlign w:val="center"/>
          </w:tcPr>
          <w:p>
            <w:pPr>
              <w:pStyle w:val="TableContents"/>
              <w:bidi w:val="0"/>
              <w:spacing w:before="0" w:after="283"/>
              <w:jc w:val="left"/>
              <w:rPr/>
            </w:pPr>
            <w:r>
              <w:rPr/>
              <w:t>Payments on notes payable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(63,319</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(71,581</w:t>
            </w:r>
          </w:p>
        </w:tc>
        <w:tc>
          <w:tcPr>
            <w:tcW w:w="112" w:type="dxa"/>
            <w:tcBorders/>
            <w:shd w:fill="FFFFFF" w:val="clear"/>
            <w:vAlign w:val="center"/>
          </w:tcPr>
          <w:p>
            <w:pPr>
              <w:pStyle w:val="TableContents"/>
              <w:bidi w:val="0"/>
              <w:spacing w:before="0" w:after="283"/>
              <w:jc w:val="left"/>
              <w:rPr/>
            </w:pPr>
            <w:r>
              <w:rPr/>
              <w:t>)</w:t>
            </w:r>
            <w:bookmarkStart w:id="212" w:name="xdx_40B_ecustom--RepaymentsOfPurchaseCom"/>
            <w:bookmarkEnd w:id="212"/>
          </w:p>
        </w:tc>
      </w:tr>
      <w:tr>
        <w:trPr/>
        <w:tc>
          <w:tcPr>
            <w:tcW w:w="6311" w:type="dxa"/>
            <w:tcBorders/>
            <w:shd w:fill="CCEEFF" w:val="clear"/>
            <w:vAlign w:val="center"/>
          </w:tcPr>
          <w:p>
            <w:pPr>
              <w:pStyle w:val="TableContents"/>
              <w:bidi w:val="0"/>
              <w:spacing w:before="0" w:after="283"/>
              <w:jc w:val="left"/>
              <w:rPr/>
            </w:pPr>
            <w:r>
              <w:rPr/>
              <w:t>Repayments of purchase commitment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(150,000</w:t>
            </w:r>
          </w:p>
        </w:tc>
        <w:tc>
          <w:tcPr>
            <w:tcW w:w="112" w:type="dxa"/>
            <w:tcBorders/>
            <w:shd w:fill="CCEEFF" w:val="clear"/>
            <w:vAlign w:val="center"/>
          </w:tcPr>
          <w:p>
            <w:pPr>
              <w:pStyle w:val="TableContents"/>
              <w:bidi w:val="0"/>
              <w:spacing w:before="0" w:after="283"/>
              <w:jc w:val="left"/>
              <w:rPr/>
            </w:pPr>
            <w:r>
              <w:rPr/>
              <w:t>)</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3" w:name="xdx_40D_eus-gaap--NetCashProvidedByUsedI"/>
            <w:bookmarkEnd w:id="213"/>
          </w:p>
        </w:tc>
      </w:tr>
      <w:tr>
        <w:trPr/>
        <w:tc>
          <w:tcPr>
            <w:tcW w:w="6311"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(63,319</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(221,581</w:t>
            </w:r>
          </w:p>
        </w:tc>
        <w:tc>
          <w:tcPr>
            <w:tcW w:w="112" w:type="dxa"/>
            <w:tcBorders/>
            <w:shd w:fill="CCEEFF" w:val="clear"/>
            <w:vAlign w:val="center"/>
          </w:tcPr>
          <w:p>
            <w:pPr>
              <w:pStyle w:val="TableContents"/>
              <w:bidi w:val="0"/>
              <w:spacing w:before="0" w:after="283"/>
              <w:jc w:val="left"/>
              <w:rPr/>
            </w:pPr>
            <w:r>
              <w:rPr/>
              <w:t>)</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4" w:name="xdx_40D_eus-gaap--EffectOfExchangeRateOn"/>
            <w:bookmarkEnd w:id="214"/>
          </w:p>
        </w:tc>
      </w:tr>
      <w:tr>
        <w:trPr/>
        <w:tc>
          <w:tcPr>
            <w:tcW w:w="6311"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(70,398</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35,910</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5" w:name="xdx_40E_eus-gaap--CashCashEquivalentsRes"/>
            <w:bookmarkEnd w:id="215"/>
          </w:p>
        </w:tc>
      </w:tr>
      <w:tr>
        <w:trPr/>
        <w:tc>
          <w:tcPr>
            <w:tcW w:w="6311"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865,909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191,131</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6" w:name="xdx_40F_eus-gaap--CashCashEquivalentsRes"/>
            <w:bookmarkEnd w:id="216"/>
          </w:p>
        </w:tc>
      </w:tr>
      <w:tr>
        <w:trPr/>
        <w:tc>
          <w:tcPr>
            <w:tcW w:w="6311" w:type="dxa"/>
            <w:tcBorders/>
            <w:shd w:fill="CCEEFF" w:val="clear"/>
            <w:vAlign w:val="center"/>
          </w:tcPr>
          <w:p>
            <w:pPr>
              <w:pStyle w:val="TableContents"/>
              <w:bidi w:val="0"/>
              <w:spacing w:before="0" w:after="283"/>
              <w:jc w:val="left"/>
              <w:rPr>
                <w:b/>
              </w:rPr>
            </w:pPr>
            <w:r>
              <w:rPr>
                <w:b/>
              </w:rPr>
              <w:t>Total 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4,993,390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single" w:sz="8" w:space="0" w:color="000000"/>
            </w:tcBorders>
            <w:shd w:fill="CCEEFF" w:val="clear"/>
            <w:tcMar>
              <w:bottom w:w="28" w:type="dxa"/>
            </w:tcMar>
            <w:vAlign w:val="center"/>
          </w:tcPr>
          <w:p>
            <w:pPr>
              <w:pStyle w:val="TableContents"/>
              <w:bidi w:val="0"/>
              <w:spacing w:before="0" w:after="283"/>
              <w:jc w:val="right"/>
              <w:rPr/>
            </w:pPr>
            <w:r>
              <w:rPr/>
              <w:t>859,271</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7" w:name="xdx_400_eus-gaap--CashCashEquivalentsRes"/>
            <w:bookmarkEnd w:id="217"/>
          </w:p>
        </w:tc>
      </w:tr>
      <w:tr>
        <w:trPr/>
        <w:tc>
          <w:tcPr>
            <w:tcW w:w="6311" w:type="dxa"/>
            <w:tcBorders/>
            <w:shd w:fill="CCEEFF" w:val="clear"/>
            <w:vAlign w:val="center"/>
          </w:tcPr>
          <w:p>
            <w:pPr>
              <w:pStyle w:val="TableContents"/>
              <w:bidi w:val="0"/>
              <w:spacing w:before="0" w:after="283"/>
              <w:jc w:val="left"/>
              <w:rPr>
                <w:b/>
              </w:rPr>
            </w:pPr>
            <w:r>
              <w:rPr>
                <w:b/>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pPr>
            <w:r>
              <w:rPr/>
              <w:t>5,859,299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pPr>
            <w:r>
              <w:rPr/>
              <w:t>1,050,402</w:t>
            </w:r>
          </w:p>
        </w:tc>
        <w:tc>
          <w:tcPr>
            <w:tcW w:w="112" w:type="dxa"/>
            <w:tcBorders/>
            <w:shd w:fill="CCEEFF" w:val="clear"/>
            <w:vAlign w:val="center"/>
          </w:tcPr>
          <w:p>
            <w:pPr>
              <w:pStyle w:val="TableContents"/>
              <w:bidi w:val="0"/>
              <w:spacing w:before="0" w:after="283"/>
              <w:jc w:val="left"/>
              <w:rPr/>
            </w:pPr>
            <w:r>
              <w:rPr/>
              <w:t> </w:t>
            </w:r>
          </w:p>
        </w:tc>
      </w:tr>
      <w:tr>
        <w:trPr/>
        <w:tc>
          <w:tcPr>
            <w:tcW w:w="6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8" w:name="xdx_407_eus-gaap--SupplementalCashFlowEl"/>
            <w:bookmarkEnd w:id="218"/>
          </w:p>
        </w:tc>
      </w:tr>
      <w:tr>
        <w:trPr/>
        <w:tc>
          <w:tcPr>
            <w:tcW w:w="6311"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9" w:name="xdx_409_ecustom--CashPaidAbstract_i01B"/>
            <w:bookmarkEnd w:id="219"/>
          </w:p>
        </w:tc>
      </w:tr>
      <w:tr>
        <w:trPr/>
        <w:tc>
          <w:tcPr>
            <w:tcW w:w="6311" w:type="dxa"/>
            <w:tcBorders/>
            <w:shd w:fill="FFFFFF" w:val="clear"/>
            <w:vAlign w:val="center"/>
          </w:tcPr>
          <w:p>
            <w:pPr>
              <w:pStyle w:val="TableContents"/>
              <w:bidi w:val="0"/>
              <w:spacing w:before="0" w:after="283"/>
              <w:jc w:val="left"/>
              <w:rPr/>
            </w:pPr>
            <w:r>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0" w:name="xdx_40A_eus-gaap--InterestPaidNet_i02_pp"/>
            <w:bookmarkEnd w:id="220"/>
          </w:p>
        </w:tc>
      </w:tr>
      <w:tr>
        <w:trPr/>
        <w:tc>
          <w:tcPr>
            <w:tcW w:w="6311"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3,205</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5,956</w:t>
            </w:r>
          </w:p>
        </w:tc>
        <w:tc>
          <w:tcPr>
            <w:tcW w:w="112" w:type="dxa"/>
            <w:tcBorders/>
            <w:shd w:fill="CCEEFF" w:val="clear"/>
            <w:vAlign w:val="center"/>
          </w:tcPr>
          <w:p>
            <w:pPr>
              <w:pStyle w:val="TableContents"/>
              <w:bidi w:val="0"/>
              <w:spacing w:before="0" w:after="283"/>
              <w:jc w:val="left"/>
              <w:rPr/>
            </w:pPr>
            <w:r>
              <w:rPr/>
              <w:t> </w:t>
            </w:r>
            <w:bookmarkStart w:id="221" w:name="xdx_402_eus-gaap--NoncashInvestingAndFin"/>
            <w:bookmarkEnd w:id="221"/>
          </w:p>
        </w:tc>
      </w:tr>
      <w:tr>
        <w:trPr/>
        <w:tc>
          <w:tcPr>
            <w:tcW w:w="6311"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2" w:name="xdx_401_ecustom--IssuanceOfNotePayableFo"/>
            <w:bookmarkEnd w:id="222"/>
          </w:p>
        </w:tc>
      </w:tr>
      <w:tr>
        <w:trPr/>
        <w:tc>
          <w:tcPr>
            <w:tcW w:w="6311" w:type="dxa"/>
            <w:tcBorders/>
            <w:shd w:fill="CCEEFF" w:val="clear"/>
            <w:vAlign w:val="center"/>
          </w:tcPr>
          <w:p>
            <w:pPr>
              <w:pStyle w:val="TableContents"/>
              <w:bidi w:val="0"/>
              <w:spacing w:before="0" w:after="283"/>
              <w:jc w:val="left"/>
              <w:rPr/>
            </w:pPr>
            <w:r>
              <w:rPr/>
              <w:t>Issuance of note payable for payment of prepaid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391,072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412,080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3" w:name="sh_008"/>
      <w:bookmarkEnd w:id="223"/>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4" w:name="xdx_808_eus-gaap--BusinessDescriptionAnd"/>
      <w:bookmarkEnd w:id="224"/>
      <w:r>
        <w:rPr>
          <w:rFonts w:ascii="Times New Roman;Times;Serif" w:hAnsi="Times New Roman;Times;Serif"/>
          <w:b/>
          <w:i w:val="false"/>
          <w:caps w:val="false"/>
          <w:smallCaps w:val="false"/>
          <w:sz w:val="20"/>
        </w:rPr>
        <w:t xml:space="preserve">NOTE 1 - </w:t>
      </w:r>
      <w:bookmarkStart w:id="225" w:name="xdx_823_zJUnOdZSqAlc"/>
      <w:bookmarkEnd w:id="225"/>
      <w:r>
        <w:rPr>
          <w:rFonts w:ascii="Times New Roman;Times;Serif" w:hAnsi="Times New Roman;Times;Serif"/>
          <w:b/>
          <w:i w:val="false"/>
          <w:caps/>
          <w:sz w:val="20"/>
        </w:rPr>
        <w:t>BUSINESS ORGANIZATION, NATURE OF OPERATIONS, AND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Organization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Gaming US LLC (“Motorsport Gaming”) was established as a limited liability company on August 2, 2018 under the laws of the State of Florida. On January 8, 2021, Motorsport Gaming converted into a Delaware corporation pursuant to a statutory conversion and changed its name to Motorsport Games Inc. (“Motorsport Games” or the “Company”). Upon effecting the corporate conversion on January 8, 2021, Motorsport Games now holds all the property and assets of Motorsport Gaming, and all of the debts and obligations of Motorsport Gaming were assumed by Motorsport Games by operation of law upon such corporate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net income of $</w:t>
      </w:r>
      <w:bookmarkStart w:id="226" w:name="xdx_906_eus-gaap--ProfitLoss_pn5n6_c2026"/>
      <w:bookmarkEnd w:id="226"/>
      <w:r>
        <w:rPr>
          <w:rFonts w:ascii="Times New Roman;Times;Serif" w:hAnsi="Times New Roman;Times;Serif"/>
          <w:b w:val="false"/>
          <w:i w:val="false"/>
          <w:caps w:val="false"/>
          <w:smallCaps w:val="false"/>
          <w:sz w:val="20"/>
        </w:rPr>
        <w:t>1.0 million and generated cash flows from operations of $</w:t>
      </w:r>
      <w:bookmarkStart w:id="227" w:name="xdx_903_eus-gaap--NetCashProvidedByUsedI"/>
      <w:bookmarkEnd w:id="227"/>
      <w:r>
        <w:rPr>
          <w:rFonts w:ascii="Times New Roman;Times;Serif" w:hAnsi="Times New Roman;Times;Serif"/>
          <w:b w:val="false"/>
          <w:i w:val="false"/>
          <w:caps w:val="false"/>
          <w:smallCaps w:val="false"/>
          <w:sz w:val="20"/>
        </w:rPr>
        <w:t>1.6 million for the three months ended March 31, 2026. As of March 31, 2026, the Company had an accumulated deficit of $</w:t>
      </w:r>
      <w:bookmarkStart w:id="228" w:name="xdx_904_eus-gaap--RetainedEarningsAccumu"/>
      <w:bookmarkEnd w:id="228"/>
      <w:r>
        <w:rPr>
          <w:rFonts w:ascii="Times New Roman;Times;Serif" w:hAnsi="Times New Roman;Times;Serif"/>
          <w:b w:val="false"/>
          <w:i w:val="false"/>
          <w:caps w:val="false"/>
          <w:smallCaps w:val="false"/>
          <w:sz w:val="20"/>
        </w:rPr>
        <w:t>84.5 million, working capital of $</w:t>
      </w:r>
      <w:bookmarkStart w:id="229" w:name="xdx_903_ecustom--WorkingCapitalDeficit_i"/>
      <w:bookmarkEnd w:id="229"/>
      <w:r>
        <w:rPr>
          <w:rFonts w:ascii="Times New Roman;Times;Serif" w:hAnsi="Times New Roman;Times;Serif"/>
          <w:b w:val="false"/>
          <w:i w:val="false"/>
          <w:caps w:val="false"/>
          <w:smallCaps w:val="false"/>
          <w:sz w:val="20"/>
        </w:rPr>
        <w:t>5.2 million, and cash and cash equivalents of $</w:t>
      </w:r>
      <w:bookmarkStart w:id="230" w:name="xdx_901_eus-gaap--CashAndCashEquivalents"/>
      <w:bookmarkEnd w:id="230"/>
      <w:r>
        <w:rPr>
          <w:rFonts w:ascii="Times New Roman;Times;Serif" w:hAnsi="Times New Roman;Times;Serif"/>
          <w:b w:val="false"/>
          <w:i w:val="false"/>
          <w:caps w:val="false"/>
          <w:smallCaps w:val="false"/>
          <w:sz w:val="20"/>
        </w:rPr>
        <w:t>5.9 million, which decreased to $</w:t>
      </w:r>
      <w:bookmarkStart w:id="231" w:name="xdx_90D_eus-gaap--CashAndCashEquivalents"/>
      <w:bookmarkEnd w:id="231"/>
      <w:r>
        <w:rPr>
          <w:rFonts w:ascii="Times New Roman;Times;Serif" w:hAnsi="Times New Roman;Times;Serif"/>
          <w:b w:val="false"/>
          <w:i w:val="false"/>
          <w:caps w:val="false"/>
          <w:smallCaps w:val="false"/>
          <w:sz w:val="20"/>
        </w:rPr>
        <w:t>3.8 million as of April 30, 2026, due primarily to the Company’s $</w:t>
      </w:r>
      <w:bookmarkStart w:id="232" w:name="xdx_908_eus-gaap--StockRepurchasedDuring"/>
      <w:bookmarkEnd w:id="232"/>
      <w:r>
        <w:rPr>
          <w:rFonts w:ascii="Times New Roman;Times;Serif" w:hAnsi="Times New Roman;Times;Serif"/>
          <w:b w:val="false"/>
          <w:i w:val="false"/>
          <w:caps w:val="false"/>
          <w:smallCaps w:val="false"/>
          <w:sz w:val="20"/>
        </w:rPr>
        <w:t>3.7 million repurchase of its shares from Driven Lifestyle Group LLC on April 22, 2026, partially offset by a $</w:t>
      </w:r>
      <w:bookmarkStart w:id="233" w:name="xdx_90B_esrt--BankLoans_iI_pn5n6_c202604"/>
      <w:bookmarkEnd w:id="233"/>
      <w:r>
        <w:rPr>
          <w:rFonts w:ascii="Times New Roman;Times;Serif" w:hAnsi="Times New Roman;Times;Serif"/>
          <w:b w:val="false"/>
          <w:i w:val="false"/>
          <w:caps w:val="false"/>
          <w:smallCaps w:val="false"/>
          <w:sz w:val="20"/>
        </w:rPr>
        <w:t xml:space="preserve">1.2 million drawdown from a business loan agreement with Citibank, N.A. and cash inflows from operations. In May 2026, Citibank, N.A. extended the maturity date of the business loan agreement to </w:t>
      </w:r>
      <w:bookmarkStart w:id="234" w:name="xdx_901_eus-gaap--DebtInstrumentMaturity"/>
      <w:bookmarkEnd w:id="234"/>
      <w:r>
        <w:rPr>
          <w:rFonts w:ascii="Times New Roman;Times;Serif" w:hAnsi="Times New Roman;Times;Serif"/>
          <w:b w:val="false"/>
          <w:i w:val="false"/>
          <w:caps w:val="false"/>
          <w:smallCaps w:val="false"/>
          <w:sz w:val="20"/>
        </w:rPr>
        <w:t xml:space="preserve">February 20, 2028. Refer to Note 12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generated an average positive cash flow from operations of approximately $</w:t>
      </w:r>
      <w:bookmarkStart w:id="235" w:name="xdx_90F_ecustom--DecreaseInAverageNetCas"/>
      <w:bookmarkEnd w:id="235"/>
      <w:r>
        <w:rPr>
          <w:rFonts w:ascii="Times New Roman;Times;Serif" w:hAnsi="Times New Roman;Times;Serif"/>
          <w:b w:val="false"/>
          <w:i w:val="false"/>
          <w:caps w:val="false"/>
          <w:smallCaps w:val="false"/>
          <w:sz w:val="20"/>
        </w:rPr>
        <w:t>0.5 million per month that was primarily due to increased profitability and the capitalization of internally-developed software. As such, the Company expects that its cash on hand and cash to be generated from operations will fund its operations for at least one year from the date the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6" w:name="xdx_80A_eus-gaap--SignificantAccountingP"/>
      <w:bookmarkEnd w:id="236"/>
      <w:r>
        <w:rPr>
          <w:rFonts w:ascii="Times New Roman;Times;Serif" w:hAnsi="Times New Roman;Times;Serif"/>
          <w:b/>
          <w:i w:val="false"/>
          <w:caps w:val="false"/>
          <w:smallCaps w:val="false"/>
          <w:sz w:val="20"/>
        </w:rPr>
        <w:t xml:space="preserve">NOTE 2 – </w:t>
      </w:r>
      <w:bookmarkStart w:id="237" w:name="xdx_82E_zJrDCuk7Y55f"/>
      <w:bookmarkEnd w:id="237"/>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238" w:name="xdx_84B_eus-gaap--BasisOfAccountingPolic"/>
      <w:bookmarkEnd w:id="238"/>
      <w:r>
        <w:rPr>
          <w:rFonts w:ascii="Times New Roman;Times;Serif" w:hAnsi="Times New Roman;Times;Serif"/>
          <w:b/>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In management’s opinion, such statements include all adjustments (consisting only of normal recurring items) which are considered necessary for a fair statement of the Company’s unaudited condensed consolidated financial statements as of March 31, 2026 and for the three months ended March 31, 2026. The Company’s results of operations for the three months ended March 31, 2026 are not necessarily indicative of the operating results for the full year ending December 31, 2026 or any other period. These unaudited condensed consolidated financial statements should be read in conjunction with the Company’s audited consolidated financial statements and related disclosures as of December 31, 2025 and 2024 and for the years then ended which are included in the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239" w:name="xdx_844_eus-gaap--UseOfEstimates_zfdlPGe"/>
      <w:bookmarkEnd w:id="239"/>
      <w:r>
        <w:rPr>
          <w:rFonts w:ascii="Times New Roman;Times;Serif" w:hAnsi="Times New Roman;Times;Serif"/>
          <w:b/>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estimates used in these condensed consolidated financial statements include, but are not limited to, revenue recognition criteria, offering periods for deferred net revenue, valuation allowance of deferred income taxes, valuation of warrants and stock option liability, and stock-based compensation valuation.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240" w:name="xdx_843_eus-gaap--PriorPeriodReclassific"/>
      <w:bookmarkEnd w:id="240"/>
      <w:r>
        <w:rPr>
          <w:rFonts w:ascii="Times New Roman;Times;Serif" w:hAnsi="Times New Roman;Times;Serif"/>
          <w:b/>
          <w:i w:val="false"/>
          <w:caps w:val="false"/>
          <w:smallCaps w:val="false"/>
          <w:sz w:val="20"/>
          <w:u w:val="single"/>
        </w:rPr>
        <w:t>Revisions and 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of prior period amounts have been made to conform to the presentation of these condensed consolidated financial statements. Deferred revenue is now separately presented from accrued expenses and other current liabilities on the accompanying condensed consolidated statements of cash flows. In addition, the Company has revised the statement of cash flow for the three months ended March 31, 2025 to revise the presentation of net cash used in financing activities to include payment on notes payable that was previously included in cash from operating activities. As a result, net cash provided by operating activities and used in financing activities increased by $</w:t>
      </w:r>
      <w:bookmarkStart w:id="241" w:name="xdx_909_eus-gaap--NetCashProvidedByUsedI"/>
      <w:bookmarkStart w:id="242" w:name="xdx_90F_eus-gaap--NetCashProvidedByUsedI"/>
      <w:bookmarkEnd w:id="241"/>
      <w:bookmarkEnd w:id="242"/>
      <w:r>
        <w:rPr>
          <w:rFonts w:ascii="Times New Roman;Times;Serif" w:hAnsi="Times New Roman;Times;Serif"/>
          <w:b w:val="false"/>
          <w:i w:val="false"/>
          <w:caps w:val="false"/>
          <w:smallCaps w:val="false"/>
          <w:sz w:val="20"/>
        </w:rPr>
        <w:t>0.2 million during the three months ended March 31, 2025. These reclassifications had no effect on the prior period’s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243" w:name="xdx_84F_eus-gaap--NewAccountingPronounce"/>
      <w:bookmarkEnd w:id="243"/>
      <w:r>
        <w:rPr>
          <w:rFonts w:ascii="Times New Roman;Times;Serif" w:hAnsi="Times New Roman;Times;Serif"/>
          <w:b/>
          <w:i w:val="false"/>
          <w:caps w:val="false"/>
          <w:smallCaps w:val="false"/>
          <w:sz w:val="20"/>
          <w:u w:val="single"/>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2025, the Company adopted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This standard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adoption did not have a material impact on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2026, the Company prospectively adopted ASU No.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(“ASU 2025-05), which introduced a practical expedient to simplify how entities estimate credit losses on short-term receivables and contract assets under the Current Expected Credit Losses model. The adoption of ASU 2025-05 did not have a material impact on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(“ASU 2024-03”). The guidance requires disaggregated information about certain income statement expense line items on an annual and interim basis. This guidance will be effective for annual periods beginning with the year ending December 31, 2027 and for interim periods thereafter. The new standard permits early adoption and can be applied prospectively or retrospectively. The Company is currently evaluating the timing and method of its adoption of ASU 2024-03.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r>
        <w:rPr>
          <w:rFonts w:ascii="Times New Roman;Times;Serif" w:hAnsi="Times New Roman;Times;Serif"/>
          <w:b w:val="false"/>
          <w:i w:val="false"/>
          <w:caps w:val="false"/>
          <w:smallCaps w:val="false"/>
          <w:sz w:val="20"/>
        </w:rPr>
        <w:t xml:space="preserve"> (“ASU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will be effective for the Company’s interim and annual 2028 reporting periods, with early adoption permitted. The Company is currently evaluating the timing and method of its adoption of ASU 2025-06.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No. 2025-11, </w:t>
      </w:r>
      <w:r>
        <w:rPr>
          <w:rFonts w:ascii="Times New Roman;Times;Serif" w:hAnsi="Times New Roman;Times;Serif"/>
          <w:b w:val="false"/>
          <w:i/>
          <w:caps w:val="false"/>
          <w:smallCaps w:val="false"/>
          <w:sz w:val="20"/>
        </w:rPr>
        <w:t>Interim Reporting (Topic 270): Narrow-Scope Improvements</w:t>
      </w:r>
      <w:r>
        <w:rPr>
          <w:rFonts w:ascii="Times New Roman;Times;Serif" w:hAnsi="Times New Roman;Times;Serif"/>
          <w:b w:val="false"/>
          <w:i w:val="false"/>
          <w:caps w:val="false"/>
          <w:smallCaps w:val="false"/>
          <w:sz w:val="20"/>
        </w:rPr>
        <w:t xml:space="preserve"> (“ASU 2025-11”),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ASU 2025-11 to have a material impact on its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bookmarkStart w:id="244" w:name="xdx_844_ecustom--SignificantAccountingPo"/>
      <w:bookmarkEnd w:id="244"/>
      <w:r>
        <w:rPr>
          <w:rFonts w:ascii="Times New Roman;Times;Serif" w:hAnsi="Times New Roman;Times;Serif"/>
          <w:b/>
          <w:i w:val="false"/>
          <w:caps w:val="false"/>
          <w:smallCaps w:val="false"/>
          <w:sz w:val="20"/>
          <w:u w:val="single"/>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significant accounting policies disclosed in the audited consolidated financial statements for the year ended December 31, 2025, as included in the 2025 Form 10-K.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5" w:name="xdx_809_eus-gaap--IntangibleAssetsDisclo"/>
      <w:bookmarkEnd w:id="245"/>
      <w:r>
        <w:rPr>
          <w:rFonts w:ascii="Times New Roman;Times;Serif" w:hAnsi="Times New Roman;Times;Serif"/>
          <w:b/>
          <w:i w:val="false"/>
          <w:caps w:val="false"/>
          <w:smallCaps w:val="false"/>
          <w:sz w:val="20"/>
        </w:rPr>
        <w:t xml:space="preserve">NOTE 3 – </w:t>
      </w:r>
      <w:bookmarkStart w:id="246" w:name="xdx_820_z2AJJtF6gFQ6"/>
      <w:bookmarkEnd w:id="246"/>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Licensing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2019, the Company entered into an agreement to facilitate the Le Mans Esports Series as part of a joint venture with Automobile Club de l’Ouest (“ACO”), the organizer of the 24 Hours of Le Mans endurance race. Through the Company’s ownership interest in this joint venture, which was increased to </w:t>
      </w:r>
      <w:bookmarkStart w:id="247" w:name="xdx_900_eus-gaap--EquityMethodInvestment"/>
      <w:bookmarkEnd w:id="247"/>
      <w:r>
        <w:rPr>
          <w:rFonts w:ascii="Times New Roman;Times;Serif" w:hAnsi="Times New Roman;Times;Serif"/>
          <w:b w:val="false"/>
          <w:i w:val="false"/>
          <w:caps w:val="false"/>
          <w:smallCaps w:val="false"/>
          <w:sz w:val="20"/>
        </w:rPr>
        <w:t xml:space="preserve">51% from </w:t>
      </w:r>
      <w:bookmarkStart w:id="248" w:name="xdx_908_eus-gaap--EquityMethodInvestment"/>
      <w:bookmarkEnd w:id="248"/>
      <w:r>
        <w:rPr>
          <w:rFonts w:ascii="Times New Roman;Times;Serif" w:hAnsi="Times New Roman;Times;Serif"/>
          <w:b w:val="false"/>
          <w:i w:val="false"/>
          <w:caps w:val="false"/>
          <w:smallCaps w:val="false"/>
          <w:sz w:val="20"/>
        </w:rPr>
        <w:t>45% in January 2021, the Company secured the rights to be the exclusive video game developer and publisher for the 24 Hours of Le Mans race and the FIA World Endurance Championship (the “WEC”), which the 24 Hours of Le Mans race is a part of, for a ten-year period. In addition, through this joint venture with ACO, the Company has the right to create and organize esports leagues and events for the Le Mans Esports Series. The Company acquired a video gaming license (the “Le Mans Gaming License”) and an esports license related to its ownership interest in this joint venture with the ACO.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49" w:name="xdx_893_eus-gaap--ScheduleOfFiniteLivedI"/>
      <w:bookmarkEnd w:id="249"/>
      <w:r>
        <w:rPr>
          <w:rFonts w:ascii="Times New Roman;Times;Serif" w:hAnsi="Times New Roman;Times;Serif"/>
          <w:b w:val="false"/>
          <w:i w:val="false"/>
          <w:caps w:val="false"/>
          <w:smallCaps w:val="false"/>
          <w:sz w:val="20"/>
        </w:rPr>
        <w:t>The following is a summary of intangible assets as of March 31, 2026:</w:t>
      </w:r>
    </w:p>
    <w:p>
      <w:pPr>
        <w:pStyle w:val="TextBody"/>
        <w:bidi w:val="0"/>
        <w:spacing w:before="0" w:after="0"/>
        <w:ind w:left="0" w:right="0" w:hanging="0"/>
        <w:jc w:val="center"/>
        <w:rPr>
          <w:caps w:val="false"/>
          <w:smallCaps w:val="false"/>
        </w:rPr>
      </w:pPr>
      <w:r>
        <w:rPr>
          <w:caps w:val="false"/>
          <w:smallCaps w:val="false"/>
        </w:rPr>
        <w:t> </w:t>
      </w:r>
      <w:bookmarkStart w:id="250" w:name="xdx_8B9_zjkEWyQtDwSc"/>
      <w:bookmarkEnd w:id="250"/>
      <w:r>
        <w:rPr>
          <w:rFonts w:ascii="Times New Roman;Times;Serif" w:hAnsi="Times New Roman;Times;Serif"/>
          <w:b w:val="false"/>
          <w:i w:val="false"/>
          <w:caps w:val="false"/>
          <w:smallCaps w:val="false"/>
          <w:sz w:val="20"/>
        </w:rPr>
        <w:t>SUMMARY OF INTANGIBLE ASSETS </w:t>
      </w:r>
    </w:p>
    <w:tbl>
      <w:tblPr>
        <w:tblW w:w="10205" w:type="dxa"/>
        <w:jc w:val="left"/>
        <w:tblInd w:w="0" w:type="dxa"/>
        <w:tblLayout w:type="fixed"/>
        <w:tblCellMar>
          <w:top w:w="0" w:type="dxa"/>
          <w:left w:w="0" w:type="dxa"/>
          <w:bottom w:w="0" w:type="dxa"/>
          <w:right w:w="0" w:type="dxa"/>
        </w:tblCellMar>
      </w:tblPr>
      <w:tblGrid>
        <w:gridCol w:w="3020"/>
        <w:gridCol w:w="60"/>
        <w:gridCol w:w="199"/>
        <w:gridCol w:w="1404"/>
        <w:gridCol w:w="95"/>
        <w:gridCol w:w="60"/>
        <w:gridCol w:w="140"/>
        <w:gridCol w:w="980"/>
        <w:gridCol w:w="95"/>
        <w:gridCol w:w="60"/>
        <w:gridCol w:w="175"/>
        <w:gridCol w:w="1005"/>
        <w:gridCol w:w="95"/>
        <w:gridCol w:w="60"/>
        <w:gridCol w:w="160"/>
        <w:gridCol w:w="1210"/>
        <w:gridCol w:w="95"/>
        <w:gridCol w:w="60"/>
        <w:gridCol w:w="140"/>
        <w:gridCol w:w="980"/>
        <w:gridCol w:w="112"/>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Licensing Agreements </w:t>
              <w:b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Software</w:t>
              <w:b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Trade Names</w:t>
              <w:br/>
              <w:t>(Indefinite)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Balance as of January 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251" w:name="xdx_987_eus-gaap--FiniteLivedIntangibleA"/>
            <w:bookmarkEnd w:id="251"/>
          </w:p>
        </w:tc>
        <w:tc>
          <w:tcPr>
            <w:tcW w:w="1404" w:type="dxa"/>
            <w:tcBorders/>
            <w:shd w:fill="CCEEFF" w:val="clear"/>
            <w:vAlign w:val="center"/>
          </w:tcPr>
          <w:p>
            <w:pPr>
              <w:pStyle w:val="TableContents"/>
              <w:bidi w:val="0"/>
              <w:spacing w:before="0" w:after="283"/>
              <w:jc w:val="right"/>
              <w:rPr/>
            </w:pPr>
            <w:r>
              <w:rPr/>
              <w:t>1,663,507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52" w:name="xdx_988_eus-gaap--FiniteLivedIntangibleA"/>
            <w:bookmarkEnd w:id="252"/>
          </w:p>
        </w:tc>
        <w:tc>
          <w:tcPr>
            <w:tcW w:w="980" w:type="dxa"/>
            <w:tcBorders/>
            <w:shd w:fill="CCEEFF" w:val="clear"/>
            <w:vAlign w:val="center"/>
          </w:tcPr>
          <w:p>
            <w:pPr>
              <w:pStyle w:val="TableContents"/>
              <w:bidi w:val="0"/>
              <w:spacing w:before="0" w:after="283"/>
              <w:jc w:val="right"/>
              <w:rPr/>
            </w:pPr>
            <w:r>
              <w:rPr/>
              <w:t>7,449,032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253" w:name="xdx_98D_eus-gaap--IndefiniteLivedIntangi"/>
            <w:bookmarkEnd w:id="253"/>
          </w:p>
        </w:tc>
        <w:tc>
          <w:tcPr>
            <w:tcW w:w="1005" w:type="dxa"/>
            <w:tcBorders/>
            <w:shd w:fill="CCEEFF" w:val="clear"/>
            <w:vAlign w:val="center"/>
          </w:tcPr>
          <w:p>
            <w:pPr>
              <w:pStyle w:val="TableContents"/>
              <w:bidi w:val="0"/>
              <w:spacing w:before="0" w:after="283"/>
              <w:jc w:val="right"/>
              <w:rPr/>
            </w:pPr>
            <w:r>
              <w:rPr/>
              <w:t>219,516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bookmarkStart w:id="254" w:name="xdx_98E_ecustom--IntangibleAssetsAccumul"/>
            <w:bookmarkEnd w:id="254"/>
          </w:p>
        </w:tc>
        <w:tc>
          <w:tcPr>
            <w:tcW w:w="1210" w:type="dxa"/>
            <w:tcBorders/>
            <w:shd w:fill="CCEEFF" w:val="clear"/>
            <w:vAlign w:val="center"/>
          </w:tcPr>
          <w:p>
            <w:pPr>
              <w:pStyle w:val="TableContents"/>
              <w:bidi w:val="0"/>
              <w:spacing w:before="0" w:after="283"/>
              <w:jc w:val="right"/>
              <w:rPr/>
            </w:pPr>
            <w:r>
              <w:rPr/>
              <w:t>(5,560,512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55" w:name="xdx_981_eus-gaap--IntangibleAssetsNetExc"/>
            <w:bookmarkEnd w:id="255"/>
          </w:p>
        </w:tc>
        <w:tc>
          <w:tcPr>
            <w:tcW w:w="980" w:type="dxa"/>
            <w:tcBorders/>
            <w:shd w:fill="CCEEFF" w:val="clear"/>
            <w:vAlign w:val="center"/>
          </w:tcPr>
          <w:p>
            <w:pPr>
              <w:pStyle w:val="TableContents"/>
              <w:bidi w:val="0"/>
              <w:spacing w:before="0" w:after="283"/>
              <w:jc w:val="right"/>
              <w:rPr/>
            </w:pPr>
            <w:r>
              <w:rPr/>
              <w:t>3,771,543</w:t>
            </w:r>
          </w:p>
        </w:tc>
        <w:tc>
          <w:tcPr>
            <w:tcW w:w="112"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256" w:name="xdx_98F_ecustom--FiniteLivedIntangibleAs"/>
            <w:bookmarkEnd w:id="256"/>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57" w:name="xdx_981_ecustom--FiniteLivedIntangibleAs"/>
            <w:bookmarkEnd w:id="257"/>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258" w:name="xdx_98E_ecustom--FiniteLivedIntangibleAs"/>
            <w:bookmarkEnd w:id="258"/>
          </w:p>
        </w:tc>
        <w:tc>
          <w:tcPr>
            <w:tcW w:w="10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259" w:name="xdx_98A_ecustom--FiniteLivedIntangibleAs"/>
            <w:bookmarkEnd w:id="259"/>
          </w:p>
        </w:tc>
        <w:tc>
          <w:tcPr>
            <w:tcW w:w="1210" w:type="dxa"/>
            <w:tcBorders/>
            <w:shd w:fill="FFFFFF" w:val="clear"/>
            <w:vAlign w:val="center"/>
          </w:tcPr>
          <w:p>
            <w:pPr>
              <w:pStyle w:val="TableContents"/>
              <w:bidi w:val="0"/>
              <w:spacing w:before="0" w:after="283"/>
              <w:jc w:val="right"/>
              <w:rPr/>
            </w:pPr>
            <w:r>
              <w:rPr/>
              <w:t>(169,533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0" w:name="xdx_98C_ecustom--AmortizationOfIntangibl"/>
            <w:bookmarkEnd w:id="260"/>
          </w:p>
        </w:tc>
        <w:tc>
          <w:tcPr>
            <w:tcW w:w="980" w:type="dxa"/>
            <w:tcBorders/>
            <w:shd w:fill="FFFFFF" w:val="clear"/>
            <w:vAlign w:val="center"/>
          </w:tcPr>
          <w:p>
            <w:pPr>
              <w:pStyle w:val="TableContents"/>
              <w:bidi w:val="0"/>
              <w:spacing w:before="0" w:after="283"/>
              <w:jc w:val="right"/>
              <w:rPr/>
            </w:pPr>
            <w:r>
              <w:rPr/>
              <w:t>(169,533</w:t>
            </w:r>
          </w:p>
        </w:tc>
        <w:tc>
          <w:tcPr>
            <w:tcW w:w="112"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261" w:name="xdx_98D_ecustom--FiniteLivedIntangibleAs"/>
            <w:bookmarkEnd w:id="261"/>
          </w:p>
        </w:tc>
        <w:tc>
          <w:tcPr>
            <w:tcW w:w="14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62" w:name="xdx_98C_ecustom--FiniteLivedIntangibleAs"/>
            <w:bookmarkEnd w:id="262"/>
          </w:p>
        </w:tc>
        <w:tc>
          <w:tcPr>
            <w:tcW w:w="980" w:type="dxa"/>
            <w:tcBorders/>
            <w:shd w:fill="CCEEFF" w:val="clear"/>
            <w:vAlign w:val="center"/>
          </w:tcPr>
          <w:p>
            <w:pPr>
              <w:pStyle w:val="TableContents"/>
              <w:bidi w:val="0"/>
              <w:spacing w:before="0" w:after="283"/>
              <w:jc w:val="right"/>
              <w:rPr/>
            </w:pPr>
            <w:r>
              <w:rPr/>
              <w:t>628,644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bookmarkStart w:id="263" w:name="xdx_98B_ecustom--FiniteLivedIntangibleAs"/>
            <w:bookmarkEnd w:id="263"/>
          </w:p>
        </w:tc>
        <w:tc>
          <w:tcPr>
            <w:tcW w:w="10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264" w:name="xdx_987_ecustom--FiniteLivedIntangibleAs"/>
            <w:bookmarkEnd w:id="264"/>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65" w:name="xdx_984_ecustom--AmortizationOfIntangibl"/>
            <w:bookmarkEnd w:id="265"/>
          </w:p>
        </w:tc>
        <w:tc>
          <w:tcPr>
            <w:tcW w:w="980" w:type="dxa"/>
            <w:tcBorders/>
            <w:shd w:fill="CCEEFF" w:val="clear"/>
            <w:vAlign w:val="center"/>
          </w:tcPr>
          <w:p>
            <w:pPr>
              <w:pStyle w:val="TableContents"/>
              <w:bidi w:val="0"/>
              <w:spacing w:before="0" w:after="283"/>
              <w:jc w:val="right"/>
              <w:rPr/>
            </w:pPr>
            <w:r>
              <w:rPr/>
              <w:t>628,644</w:t>
            </w:r>
          </w:p>
        </w:tc>
        <w:tc>
          <w:tcPr>
            <w:tcW w:w="112"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xml:space="preserve">Impairment </w:t>
            </w:r>
            <w:bookmarkStart w:id="266" w:name="xdx_F46_zetZfFd7BVmd"/>
            <w:bookmarkEnd w:id="266"/>
            <w:r>
              <w:rPr/>
              <w:t>(1)</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267" w:name="xdx_98F_eus-gaap--ImpairmentOfIntangible"/>
            <w:bookmarkEnd w:id="267"/>
          </w:p>
        </w:tc>
        <w:tc>
          <w:tcPr>
            <w:tcW w:w="14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8" w:name="xdx_985_eus-gaap--ImpairmentOfIntangible"/>
            <w:bookmarkEnd w:id="268"/>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269" w:name="xdx_986_eus-gaap--ImpairmentOfIntangible"/>
            <w:bookmarkEnd w:id="269"/>
          </w:p>
        </w:tc>
        <w:tc>
          <w:tcPr>
            <w:tcW w:w="1005" w:type="dxa"/>
            <w:tcBorders/>
            <w:shd w:fill="FFFFFF" w:val="clear"/>
            <w:vAlign w:val="center"/>
          </w:tcPr>
          <w:p>
            <w:pPr>
              <w:pStyle w:val="TableContents"/>
              <w:bidi w:val="0"/>
              <w:spacing w:before="0" w:after="283"/>
              <w:jc w:val="right"/>
              <w:rPr/>
            </w:pPr>
            <w:r>
              <w:rPr/>
              <w:t>(27,928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270" w:name="xdx_98C_eus-gaap--ImpairmentOfIntangible"/>
            <w:bookmarkEnd w:id="270"/>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71" w:name="xdx_98A_eus-gaap--ImpairmentOfIntangible"/>
            <w:bookmarkEnd w:id="271"/>
          </w:p>
        </w:tc>
        <w:tc>
          <w:tcPr>
            <w:tcW w:w="980" w:type="dxa"/>
            <w:tcBorders/>
            <w:shd w:fill="FFFFFF" w:val="clear"/>
            <w:vAlign w:val="center"/>
          </w:tcPr>
          <w:p>
            <w:pPr>
              <w:pStyle w:val="TableContents"/>
              <w:bidi w:val="0"/>
              <w:spacing w:before="0" w:after="283"/>
              <w:jc w:val="right"/>
              <w:rPr/>
            </w:pPr>
            <w:r>
              <w:rPr/>
              <w:t>(27,928</w:t>
            </w:r>
          </w:p>
        </w:tc>
        <w:tc>
          <w:tcPr>
            <w:tcW w:w="112"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2" w:name="xdx_98E_eus-gaap--FiniteLivedIntangibleA"/>
            <w:bookmarkEnd w:id="272"/>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pPr>
            <w:r>
              <w:rPr/>
              <w:t>(38,403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3" w:name="xdx_98C_eus-gaap--FiniteLivedIntangibleA"/>
            <w:bookmarkEnd w:id="27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(148,774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4" w:name="xdx_98D_eus-gaap--FiniteLivedIntangibleA"/>
            <w:bookmarkEnd w:id="274"/>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5" w:name="xdx_981_eus-gaap--FiniteLivedIntangibleA"/>
            <w:bookmarkEnd w:id="275"/>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118,969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76" w:name="xdx_983_eus-gaap--FiniteLivedIntangibleA"/>
            <w:bookmarkEnd w:id="27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(67,945</w:t>
            </w:r>
          </w:p>
        </w:tc>
        <w:tc>
          <w:tcPr>
            <w:tcW w:w="112"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77" w:name="xdx_983_eus-gaap--FiniteLivedIntangibleA"/>
            <w:bookmarkEnd w:id="277"/>
          </w:p>
        </w:tc>
        <w:tc>
          <w:tcPr>
            <w:tcW w:w="1404" w:type="dxa"/>
            <w:tcBorders>
              <w:bottom w:val="double" w:sz="6" w:space="0" w:color="000000"/>
            </w:tcBorders>
            <w:shd w:fill="FFFFFF" w:val="clear"/>
            <w:tcMar>
              <w:bottom w:w="28" w:type="dxa"/>
            </w:tcMar>
            <w:vAlign w:val="center"/>
          </w:tcPr>
          <w:p>
            <w:pPr>
              <w:pStyle w:val="TableContents"/>
              <w:bidi w:val="0"/>
              <w:spacing w:before="0" w:after="283"/>
              <w:jc w:val="right"/>
              <w:rPr/>
            </w:pPr>
            <w:r>
              <w:rPr/>
              <w:t>1,625,104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78" w:name="xdx_98C_eus-gaap--FiniteLivedIntangibleA"/>
            <w:bookmarkEnd w:id="27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7,928,902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79" w:name="xdx_986_eus-gaap--IndefiniteLivedIntangi"/>
            <w:bookmarkEnd w:id="279"/>
          </w:p>
        </w:tc>
        <w:tc>
          <w:tcPr>
            <w:tcW w:w="1005" w:type="dxa"/>
            <w:tcBorders>
              <w:bottom w:val="double" w:sz="6" w:space="0" w:color="000000"/>
            </w:tcBorders>
            <w:shd w:fill="FFFFFF" w:val="clear"/>
            <w:tcMar>
              <w:bottom w:w="28" w:type="dxa"/>
            </w:tcMar>
            <w:vAlign w:val="center"/>
          </w:tcPr>
          <w:p>
            <w:pPr>
              <w:pStyle w:val="TableContents"/>
              <w:bidi w:val="0"/>
              <w:spacing w:before="0" w:after="283"/>
              <w:jc w:val="right"/>
              <w:rPr/>
            </w:pPr>
            <w:r>
              <w:rPr/>
              <w:t>191,851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80" w:name="xdx_980_ecustom--IntangibleAssetsAccumul"/>
            <w:bookmarkEnd w:id="280"/>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(5,611,076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81" w:name="xdx_980_eus-gaap--IntangibleAssetsNetExc"/>
            <w:bookmarkEnd w:id="28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4,134,781</w:t>
            </w:r>
          </w:p>
        </w:tc>
        <w:tc>
          <w:tcPr>
            <w:tcW w:w="112"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Weighted average remaining amortization period at March 31, 2026</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bookmarkStart w:id="282" w:name="xdx_908_eus-gaap--FiniteLivedIntangibleA"/>
            <w:bookmarkEnd w:id="282"/>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283" w:name="xdx_903_eus-gaap--FiniteLivedIntangibleA"/>
            <w:bookmarkEnd w:id="283"/>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245"/>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bookmarkStart w:id="284" w:name="xdx_F08_zhUadi29B4K"/>
            <w:bookmarkEnd w:id="284"/>
            <w:r>
              <w:rPr>
                <w:sz w:val="20"/>
              </w:rPr>
              <w:t>(1)</w:t>
            </w:r>
          </w:p>
        </w:tc>
        <w:tc>
          <w:tcPr>
            <w:tcW w:w="4565" w:type="dxa"/>
            <w:tcBorders/>
            <w:vAlign w:val="center"/>
          </w:tcPr>
          <w:p>
            <w:pPr>
              <w:pStyle w:val="TableContents"/>
              <w:bidi w:val="0"/>
              <w:spacing w:before="0" w:after="283"/>
              <w:jc w:val="both"/>
              <w:rPr>
                <w:sz w:val="20"/>
              </w:rPr>
            </w:pPr>
            <w:bookmarkStart w:id="285" w:name="xdx_F19_zg3gL3XrOiQi"/>
            <w:bookmarkEnd w:id="285"/>
            <w:r>
              <w:rPr>
                <w:sz w:val="20"/>
              </w:rPr>
              <w:t>The impairment relates to a web domain no longer used.</w:t>
            </w:r>
          </w:p>
        </w:tc>
      </w:tr>
    </w:tbl>
    <w:p>
      <w:pPr>
        <w:pStyle w:val="TextBody"/>
        <w:bidi w:val="0"/>
        <w:spacing w:before="0" w:after="0"/>
        <w:ind w:left="0" w:right="0" w:hanging="0"/>
        <w:jc w:val="center"/>
        <w:rPr>
          <w:caps w:val="false"/>
          <w:smallCaps w:val="false"/>
        </w:rPr>
      </w:pPr>
      <w:bookmarkStart w:id="286" w:name="xdx_8A2_zjwSI7XMVtX8"/>
      <w:bookmarkEnd w:id="2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7" w:name="xdx_896_eus-gaap--FiniteLivedIntangibleA"/>
      <w:bookmarkEnd w:id="287"/>
      <w:r>
        <w:rPr>
          <w:rFonts w:ascii="Times New Roman;Times;Serif" w:hAnsi="Times New Roman;Times;Serif"/>
          <w:b w:val="false"/>
          <w:i w:val="false"/>
          <w:caps w:val="false"/>
          <w:smallCaps w:val="false"/>
          <w:sz w:val="20"/>
        </w:rPr>
        <w:t>Accumulated amortization of intangible assets consists of the following:</w:t>
      </w:r>
    </w:p>
    <w:p>
      <w:pPr>
        <w:pStyle w:val="TextBody"/>
        <w:bidi w:val="0"/>
        <w:spacing w:before="0" w:after="0"/>
        <w:ind w:left="0" w:right="0" w:hanging="0"/>
        <w:jc w:val="both"/>
        <w:rPr>
          <w:caps w:val="false"/>
          <w:smallCaps w:val="false"/>
        </w:rPr>
      </w:pPr>
      <w:r>
        <w:rPr>
          <w:caps w:val="false"/>
          <w:smallCaps w:val="false"/>
        </w:rPr>
        <w:t> </w:t>
      </w:r>
      <w:bookmarkStart w:id="288" w:name="xdx_8B2_zI6wh3Mfh3N9"/>
      <w:bookmarkEnd w:id="288"/>
      <w:r>
        <w:rPr>
          <w:rFonts w:ascii="Times New Roman;Times;Serif" w:hAnsi="Times New Roman;Times;Serif"/>
          <w:b w:val="false"/>
          <w:i w:val="false"/>
          <w:caps w:val="false"/>
          <w:smallCaps w:val="false"/>
          <w:sz w:val="20"/>
        </w:rPr>
        <w:t>SCHEDULE OF ACCUMULATED AMORTIZATION OF INTANGIBLE ASSETS</w:t>
      </w:r>
    </w:p>
    <w:tbl>
      <w:tblPr>
        <w:tblW w:w="7975" w:type="dxa"/>
        <w:jc w:val="left"/>
        <w:tblInd w:w="0" w:type="dxa"/>
        <w:tblLayout w:type="fixed"/>
        <w:tblCellMar>
          <w:top w:w="0" w:type="dxa"/>
          <w:left w:w="0" w:type="dxa"/>
          <w:bottom w:w="0" w:type="dxa"/>
          <w:right w:w="0" w:type="dxa"/>
        </w:tblCellMar>
      </w:tblPr>
      <w:tblGrid>
        <w:gridCol w:w="3770"/>
        <w:gridCol w:w="60"/>
        <w:gridCol w:w="183"/>
        <w:gridCol w:w="1052"/>
        <w:gridCol w:w="95"/>
        <w:gridCol w:w="60"/>
        <w:gridCol w:w="140"/>
        <w:gridCol w:w="980"/>
        <w:gridCol w:w="95"/>
        <w:gridCol w:w="60"/>
        <w:gridCol w:w="171"/>
        <w:gridCol w:w="1199"/>
        <w:gridCol w:w="110"/>
      </w:tblGrid>
      <w:tr>
        <w:trPr/>
        <w:tc>
          <w:tcPr>
            <w:tcW w:w="37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Licensing</w:t>
              <w:br/>
              <w:t>Agreements</w:t>
              <w:b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Software</w:t>
              <w:br/>
              <w:t>Licenses</w:t>
              <w:br/>
              <w:t>(Finite)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Balance as of January 1, 2026</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89" w:name="xdx_981_eus-gaap--FiniteLivedIntangibleA"/>
            <w:bookmarkEnd w:id="289"/>
          </w:p>
        </w:tc>
        <w:tc>
          <w:tcPr>
            <w:tcW w:w="1052" w:type="dxa"/>
            <w:tcBorders/>
            <w:shd w:fill="CCEEFF" w:val="clear"/>
            <w:vAlign w:val="center"/>
          </w:tcPr>
          <w:p>
            <w:pPr>
              <w:pStyle w:val="TableContents"/>
              <w:bidi w:val="0"/>
              <w:spacing w:before="0" w:after="283"/>
              <w:jc w:val="right"/>
              <w:rPr/>
            </w:pPr>
            <w:r>
              <w:rPr/>
              <w:t>415,879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90" w:name="xdx_988_eus-gaap--FiniteLivedIntangibleA"/>
            <w:bookmarkEnd w:id="290"/>
          </w:p>
        </w:tc>
        <w:tc>
          <w:tcPr>
            <w:tcW w:w="980" w:type="dxa"/>
            <w:tcBorders/>
            <w:shd w:fill="CCEEFF" w:val="clear"/>
            <w:vAlign w:val="center"/>
          </w:tcPr>
          <w:p>
            <w:pPr>
              <w:pStyle w:val="TableContents"/>
              <w:bidi w:val="0"/>
              <w:spacing w:before="0" w:after="283"/>
              <w:jc w:val="right"/>
              <w:rPr/>
            </w:pPr>
            <w:r>
              <w:rPr/>
              <w:t>5,144,633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291" w:name="xdx_98E_eus-gaap--FiniteLivedIntangibleA"/>
            <w:bookmarkEnd w:id="291"/>
          </w:p>
        </w:tc>
        <w:tc>
          <w:tcPr>
            <w:tcW w:w="1199" w:type="dxa"/>
            <w:tcBorders/>
            <w:shd w:fill="CCEEFF" w:val="clear"/>
            <w:vAlign w:val="center"/>
          </w:tcPr>
          <w:p>
            <w:pPr>
              <w:pStyle w:val="TableContents"/>
              <w:bidi w:val="0"/>
              <w:spacing w:before="0" w:after="283"/>
              <w:jc w:val="right"/>
              <w:rPr/>
            </w:pPr>
            <w:r>
              <w:rPr/>
              <w:t>5,560,512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292" w:name="xdx_98D_eus-gaap--AmortizationOfIntangib"/>
            <w:bookmarkEnd w:id="292"/>
          </w:p>
        </w:tc>
        <w:tc>
          <w:tcPr>
            <w:tcW w:w="1052" w:type="dxa"/>
            <w:tcBorders/>
            <w:shd w:fill="FFFFFF" w:val="clear"/>
            <w:vAlign w:val="center"/>
          </w:tcPr>
          <w:p>
            <w:pPr>
              <w:pStyle w:val="TableContents"/>
              <w:bidi w:val="0"/>
              <w:spacing w:before="0" w:after="283"/>
              <w:jc w:val="right"/>
              <w:rPr/>
            </w:pPr>
            <w:r>
              <w:rPr/>
              <w:t>20,748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3" w:name="xdx_986_eus-gaap--AmortizationOfIntangib"/>
            <w:bookmarkEnd w:id="293"/>
          </w:p>
        </w:tc>
        <w:tc>
          <w:tcPr>
            <w:tcW w:w="980" w:type="dxa"/>
            <w:tcBorders/>
            <w:shd w:fill="FFFFFF" w:val="clear"/>
            <w:vAlign w:val="center"/>
          </w:tcPr>
          <w:p>
            <w:pPr>
              <w:pStyle w:val="TableContents"/>
              <w:bidi w:val="0"/>
              <w:spacing w:before="0" w:after="283"/>
              <w:jc w:val="right"/>
              <w:rPr/>
            </w:pPr>
            <w:r>
              <w:rPr/>
              <w:t>148,785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294" w:name="xdx_98F_eus-gaap--AmortizationOfIntangib"/>
            <w:bookmarkEnd w:id="294"/>
          </w:p>
        </w:tc>
        <w:tc>
          <w:tcPr>
            <w:tcW w:w="1199" w:type="dxa"/>
            <w:tcBorders/>
            <w:shd w:fill="FFFFFF" w:val="clear"/>
            <w:vAlign w:val="center"/>
          </w:tcPr>
          <w:p>
            <w:pPr>
              <w:pStyle w:val="TableContents"/>
              <w:bidi w:val="0"/>
              <w:spacing w:before="0" w:after="283"/>
              <w:jc w:val="right"/>
              <w:rPr/>
            </w:pPr>
            <w:r>
              <w:rPr/>
              <w:t>169,533</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5" w:name="xdx_983_ecustom--AmortizationOfIntangibl"/>
            <w:bookmarkEnd w:id="295"/>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(10,036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6" w:name="xdx_986_ecustom--AmortizationOfIntangibl"/>
            <w:bookmarkEnd w:id="29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(108,933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7" w:name="xdx_985_ecustom--AmortizationOfIntangibl"/>
            <w:bookmarkEnd w:id="297"/>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(118,969</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both"/>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8" w:name="xdx_987_eus-gaap--FiniteLivedIntangibleA"/>
            <w:bookmarkEnd w:id="298"/>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pPr>
            <w:r>
              <w:rPr/>
              <w:t>426,591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9" w:name="xdx_98B_eus-gaap--FiniteLivedIntangibleA"/>
            <w:bookmarkEnd w:id="29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5,184,485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00" w:name="xdx_98B_eus-gaap--FiniteLivedIntangibleA"/>
            <w:bookmarkEnd w:id="300"/>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5,611,076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1" w:name="xdx_8A9_z42cCLFSQ7Ha"/>
      <w:bookmarkEnd w:id="3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2" w:name="xdx_89D_eus-gaap--ScheduleofFiniteLivedI"/>
      <w:bookmarkEnd w:id="302"/>
      <w:r>
        <w:rPr>
          <w:rFonts w:ascii="Times New Roman;Times;Serif" w:hAnsi="Times New Roman;Times;Serif"/>
          <w:b w:val="false"/>
          <w:i w:val="false"/>
          <w:caps w:val="false"/>
          <w:smallCaps w:val="false"/>
          <w:sz w:val="20"/>
        </w:rPr>
        <w:t>Estimated aggregate amortization expense of intangible assets for the next five years and thereafter is as follows:</w:t>
      </w:r>
    </w:p>
    <w:p>
      <w:pPr>
        <w:pStyle w:val="TextBody"/>
        <w:bidi w:val="0"/>
        <w:spacing w:before="0" w:after="0"/>
        <w:ind w:left="0" w:right="0" w:hanging="0"/>
        <w:jc w:val="center"/>
        <w:rPr>
          <w:caps w:val="false"/>
          <w:smallCaps w:val="false"/>
        </w:rPr>
      </w:pPr>
      <w:r>
        <w:rPr>
          <w:caps w:val="false"/>
          <w:smallCaps w:val="false"/>
        </w:rPr>
        <w:t> </w:t>
      </w:r>
      <w:bookmarkStart w:id="303" w:name="xdx_8B8_zFeU0qsu76Gl"/>
      <w:bookmarkEnd w:id="303"/>
      <w:r>
        <w:rPr>
          <w:rFonts w:ascii="Times New Roman;Times;Serif" w:hAnsi="Times New Roman;Times;Serif"/>
          <w:b w:val="false"/>
          <w:i w:val="false"/>
          <w:caps w:val="false"/>
          <w:smallCaps w:val="false"/>
          <w:sz w:val="20"/>
        </w:rPr>
        <w:t>SCHEDULE OF ESTIMATED AGGREGATE AMORTIZATION EXPENSE OF INTANGIBLE ASSETS</w:t>
      </w:r>
    </w:p>
    <w:tbl>
      <w:tblPr>
        <w:tblW w:w="4965" w:type="dxa"/>
        <w:jc w:val="left"/>
        <w:tblInd w:w="0" w:type="dxa"/>
        <w:tblLayout w:type="fixed"/>
        <w:tblCellMar>
          <w:top w:w="0" w:type="dxa"/>
          <w:left w:w="0" w:type="dxa"/>
          <w:bottom w:w="28" w:type="dxa"/>
          <w:right w:w="0" w:type="dxa"/>
        </w:tblCellMar>
      </w:tblPr>
      <w:tblGrid>
        <w:gridCol w:w="3710"/>
        <w:gridCol w:w="60"/>
        <w:gridCol w:w="140"/>
        <w:gridCol w:w="980"/>
        <w:gridCol w:w="75"/>
      </w:tblGrid>
      <w:tr>
        <w:trPr/>
        <w:tc>
          <w:tcPr>
            <w:tcW w:w="3710" w:type="dxa"/>
            <w:tcBorders>
              <w:bottom w:val="single" w:sz="8" w:space="0" w:color="000000"/>
            </w:tcBorders>
            <w:vAlign w:val="center"/>
          </w:tcPr>
          <w:p>
            <w:pPr>
              <w:pStyle w:val="TableContents"/>
              <w:bidi w:val="0"/>
              <w:spacing w:before="0" w:after="283"/>
              <w:jc w:val="both"/>
              <w:rPr>
                <w:b/>
              </w:rPr>
            </w:pPr>
            <w:r>
              <w:rPr>
                <w:b/>
              </w:rPr>
              <w:t>For the Years Ending December 31,</w:t>
            </w:r>
          </w:p>
        </w:tc>
        <w:tc>
          <w:tcPr>
            <w:tcW w:w="60" w:type="dxa"/>
            <w:tcBorders/>
            <w:tcMar>
              <w:bottom w:w="0" w:type="dxa"/>
            </w:tcMar>
            <w:vAlign w:val="center"/>
          </w:tcPr>
          <w:p>
            <w:pPr>
              <w:pStyle w:val="TableContents"/>
              <w:bidi w:val="0"/>
              <w:spacing w:before="0" w:after="283"/>
              <w:jc w:val="left"/>
              <w:rPr/>
            </w:pPr>
            <w:r>
              <w:rPr/>
              <w:t> </w:t>
            </w:r>
            <w:bookmarkStart w:id="304" w:name="xdx_495_20260331_zDPIqqvyNSX1"/>
            <w:bookmarkEnd w:id="304"/>
          </w:p>
        </w:tc>
        <w:tc>
          <w:tcPr>
            <w:tcW w:w="112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bookmarkStart w:id="305" w:name="xdx_403_eus-gaap--FiniteLivedIntangibleA"/>
            <w:bookmarkEnd w:id="305"/>
          </w:p>
        </w:tc>
      </w:tr>
      <w:tr>
        <w:trPr/>
        <w:tc>
          <w:tcPr>
            <w:tcW w:w="3710" w:type="dxa"/>
            <w:tcBorders/>
            <w:shd w:fill="CCEEFF" w:val="clear"/>
            <w:tcMar>
              <w:bottom w:w="0" w:type="dxa"/>
            </w:tcMar>
            <w:vAlign w:val="center"/>
          </w:tcPr>
          <w:p>
            <w:pPr>
              <w:pStyle w:val="TableContents"/>
              <w:bidi w:val="0"/>
              <w:spacing w:before="0" w:after="283"/>
              <w:jc w:val="both"/>
              <w:rPr/>
            </w:pPr>
            <w:r>
              <w:rPr/>
              <w:t>2026 (remaining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579,798</w:t>
            </w:r>
          </w:p>
        </w:tc>
        <w:tc>
          <w:tcPr>
            <w:tcW w:w="75" w:type="dxa"/>
            <w:tcBorders/>
            <w:shd w:fill="CCEEFF" w:val="clear"/>
            <w:tcMar>
              <w:bottom w:w="0" w:type="dxa"/>
            </w:tcMar>
            <w:vAlign w:val="center"/>
          </w:tcPr>
          <w:p>
            <w:pPr>
              <w:pStyle w:val="TableContents"/>
              <w:bidi w:val="0"/>
              <w:spacing w:before="0" w:after="283"/>
              <w:jc w:val="left"/>
              <w:rPr/>
            </w:pPr>
            <w:r>
              <w:rPr/>
              <w:t> </w:t>
            </w:r>
            <w:bookmarkStart w:id="306" w:name="xdx_405_eus-gaap--FiniteLivedIntangibleA"/>
            <w:bookmarkEnd w:id="306"/>
          </w:p>
        </w:tc>
      </w:tr>
      <w:tr>
        <w:trPr/>
        <w:tc>
          <w:tcPr>
            <w:tcW w:w="371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844,076</w:t>
            </w:r>
          </w:p>
        </w:tc>
        <w:tc>
          <w:tcPr>
            <w:tcW w:w="75" w:type="dxa"/>
            <w:tcBorders/>
            <w:shd w:fill="FFFFFF" w:val="clear"/>
            <w:tcMar>
              <w:bottom w:w="0" w:type="dxa"/>
            </w:tcMar>
            <w:vAlign w:val="center"/>
          </w:tcPr>
          <w:p>
            <w:pPr>
              <w:pStyle w:val="TableContents"/>
              <w:bidi w:val="0"/>
              <w:spacing w:before="0" w:after="283"/>
              <w:jc w:val="left"/>
              <w:rPr/>
            </w:pPr>
            <w:r>
              <w:rPr/>
              <w:t> </w:t>
            </w:r>
            <w:bookmarkStart w:id="307" w:name="xdx_40A_eus-gaap--FiniteLivedIntangibleA"/>
            <w:bookmarkEnd w:id="307"/>
          </w:p>
        </w:tc>
      </w:tr>
      <w:tr>
        <w:trPr/>
        <w:tc>
          <w:tcPr>
            <w:tcW w:w="371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820,290</w:t>
            </w:r>
          </w:p>
        </w:tc>
        <w:tc>
          <w:tcPr>
            <w:tcW w:w="75" w:type="dxa"/>
            <w:tcBorders/>
            <w:shd w:fill="CCEEFF" w:val="clear"/>
            <w:tcMar>
              <w:bottom w:w="0" w:type="dxa"/>
            </w:tcMar>
            <w:vAlign w:val="center"/>
          </w:tcPr>
          <w:p>
            <w:pPr>
              <w:pStyle w:val="TableContents"/>
              <w:bidi w:val="0"/>
              <w:spacing w:before="0" w:after="283"/>
              <w:jc w:val="left"/>
              <w:rPr/>
            </w:pPr>
            <w:r>
              <w:rPr/>
              <w:t> </w:t>
            </w:r>
            <w:bookmarkStart w:id="308" w:name="xdx_402_eus-gaap--FiniteLivedIntangibleA"/>
            <w:bookmarkEnd w:id="308"/>
          </w:p>
        </w:tc>
      </w:tr>
      <w:tr>
        <w:trPr/>
        <w:tc>
          <w:tcPr>
            <w:tcW w:w="371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476,041</w:t>
            </w:r>
          </w:p>
        </w:tc>
        <w:tc>
          <w:tcPr>
            <w:tcW w:w="75" w:type="dxa"/>
            <w:tcBorders/>
            <w:shd w:fill="FFFFFF" w:val="clear"/>
            <w:tcMar>
              <w:bottom w:w="0" w:type="dxa"/>
            </w:tcMar>
            <w:vAlign w:val="center"/>
          </w:tcPr>
          <w:p>
            <w:pPr>
              <w:pStyle w:val="TableContents"/>
              <w:bidi w:val="0"/>
              <w:spacing w:before="0" w:after="283"/>
              <w:jc w:val="left"/>
              <w:rPr/>
            </w:pPr>
            <w:r>
              <w:rPr/>
              <w:t> </w:t>
            </w:r>
            <w:bookmarkStart w:id="309" w:name="xdx_401_eus-gaap--FiniteLivedIntangibleA"/>
            <w:bookmarkEnd w:id="309"/>
          </w:p>
        </w:tc>
      </w:tr>
      <w:tr>
        <w:trPr/>
        <w:tc>
          <w:tcPr>
            <w:tcW w:w="371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375,409</w:t>
            </w:r>
          </w:p>
        </w:tc>
        <w:tc>
          <w:tcPr>
            <w:tcW w:w="75" w:type="dxa"/>
            <w:tcBorders/>
            <w:shd w:fill="CCEEFF" w:val="clear"/>
            <w:tcMar>
              <w:bottom w:w="0" w:type="dxa"/>
            </w:tcMar>
            <w:vAlign w:val="center"/>
          </w:tcPr>
          <w:p>
            <w:pPr>
              <w:pStyle w:val="TableContents"/>
              <w:bidi w:val="0"/>
              <w:spacing w:before="0" w:after="283"/>
              <w:jc w:val="left"/>
              <w:rPr/>
            </w:pPr>
            <w:r>
              <w:rPr/>
              <w:t> </w:t>
            </w:r>
            <w:bookmarkStart w:id="310" w:name="xdx_40F_ecustom--FiniteLivedIntangibleAs"/>
            <w:bookmarkEnd w:id="310"/>
          </w:p>
        </w:tc>
      </w:tr>
      <w:tr>
        <w:trPr/>
        <w:tc>
          <w:tcPr>
            <w:tcW w:w="371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847,317</w:t>
            </w:r>
          </w:p>
        </w:tc>
        <w:tc>
          <w:tcPr>
            <w:tcW w:w="75" w:type="dxa"/>
            <w:tcBorders/>
            <w:shd w:fill="FFFFFF" w:val="clear"/>
            <w:tcMar>
              <w:bottom w:w="0" w:type="dxa"/>
            </w:tcMar>
            <w:vAlign w:val="center"/>
          </w:tcPr>
          <w:p>
            <w:pPr>
              <w:pStyle w:val="TableContents"/>
              <w:bidi w:val="0"/>
              <w:spacing w:before="0" w:after="283"/>
              <w:jc w:val="left"/>
              <w:rPr/>
            </w:pPr>
            <w:r>
              <w:rPr/>
              <w:t> </w:t>
            </w:r>
            <w:bookmarkStart w:id="311" w:name="xdx_40C_eus-gaap--FiniteLivedIntangibleA"/>
            <w:bookmarkEnd w:id="311"/>
          </w:p>
        </w:tc>
      </w:tr>
      <w:tr>
        <w:trPr/>
        <w:tc>
          <w:tcPr>
            <w:tcW w:w="37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aggregate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3,942,931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12" w:name="xdx_8A6_zAh1l6b4ENoh"/>
      <w:bookmarkEnd w:id="3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updated the useful life estimate for its software technology prospectively effective January 1, 2026, which will be amortized over a period of five years to account for its continued use. The effect of this change was approximately $</w:t>
      </w:r>
      <w:bookmarkStart w:id="313" w:name="xdx_906_ecustom--ChangesInAmortizationOf"/>
      <w:bookmarkEnd w:id="313"/>
      <w:r>
        <w:rPr>
          <w:rFonts w:ascii="Times New Roman;Times;Serif" w:hAnsi="Times New Roman;Times;Serif"/>
          <w:b w:val="false"/>
          <w:i w:val="false"/>
          <w:caps w:val="false"/>
          <w:smallCaps w:val="false"/>
          <w:sz w:val="20"/>
        </w:rPr>
        <w:t>0.2 million during the three months ended March 31, 2026, and is expected to reduce amortization expense for 2026 by approximately $</w:t>
      </w:r>
      <w:bookmarkStart w:id="314" w:name="xdx_90F_ecustom--ReductionOnAmortization"/>
      <w:bookmarkEnd w:id="314"/>
      <w:r>
        <w:rPr>
          <w:rFonts w:ascii="Times New Roman;Times;Serif" w:hAnsi="Times New Roman;Times;Serif"/>
          <w:b w:val="false"/>
          <w:i w:val="false"/>
          <w:caps w:val="false"/>
          <w:smallCaps w:val="false"/>
          <w:sz w:val="20"/>
        </w:rPr>
        <w:t>0.6 million. Amortization expense related to intangible assets was approximately $</w:t>
      </w:r>
      <w:bookmarkStart w:id="315" w:name="xdx_90F_eus-gaap--AmortizationOfIntangib"/>
      <w:bookmarkStart w:id="316" w:name="xdx_90B_eus-gaap--AmortizationOfIntangib"/>
      <w:bookmarkEnd w:id="315"/>
      <w:bookmarkEnd w:id="316"/>
      <w:r>
        <w:rPr>
          <w:rFonts w:ascii="Times New Roman;Times;Serif" w:hAnsi="Times New Roman;Times;Serif"/>
          <w:b w:val="false"/>
          <w:i w:val="false"/>
          <w:caps w:val="false"/>
          <w:smallCaps w:val="false"/>
          <w:sz w:val="20"/>
        </w:rPr>
        <w:t>0.2 million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05_eus-gaap--AccountsPayableAndAccr"/>
      <w:bookmarkEnd w:id="317"/>
      <w:r>
        <w:rPr>
          <w:rFonts w:ascii="Times New Roman;Times;Serif" w:hAnsi="Times New Roman;Times;Serif"/>
          <w:b/>
          <w:i w:val="false"/>
          <w:caps w:val="false"/>
          <w:smallCaps w:val="false"/>
          <w:sz w:val="20"/>
        </w:rPr>
        <w:t xml:space="preserve">NOTE 4 – </w:t>
      </w:r>
      <w:bookmarkStart w:id="318" w:name="xdx_824_zwUVSGvOLj4h"/>
      <w:bookmarkEnd w:id="318"/>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99_eus-gaap--ScheduleOfAccruedLiabi"/>
      <w:bookmarkEnd w:id="319"/>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hanging="0"/>
        <w:jc w:val="both"/>
        <w:rPr>
          <w:caps w:val="false"/>
          <w:smallCaps w:val="false"/>
        </w:rPr>
      </w:pPr>
      <w:r>
        <w:rPr>
          <w:caps w:val="false"/>
          <w:smallCaps w:val="false"/>
        </w:rPr>
        <w:t> </w:t>
      </w:r>
      <w:bookmarkStart w:id="320" w:name="xdx_8BA_z4S0AybexCI"/>
      <w:bookmarkEnd w:id="320"/>
      <w:r>
        <w:rPr>
          <w:rFonts w:ascii="Times New Roman;Times;Serif" w:hAnsi="Times New Roman;Times;Serif"/>
          <w:b w:val="false"/>
          <w:i w:val="false"/>
          <w:caps w:val="false"/>
          <w:smallCaps w:val="false"/>
          <w:sz w:val="20"/>
        </w:rPr>
        <w:t>SCHEDULE OF ACCRUED EXPENSES</w:t>
      </w:r>
    </w:p>
    <w:tbl>
      <w:tblPr>
        <w:tblW w:w="6463" w:type="dxa"/>
        <w:jc w:val="left"/>
        <w:tblInd w:w="0" w:type="dxa"/>
        <w:tblLayout w:type="fixed"/>
        <w:tblCellMar>
          <w:top w:w="0" w:type="dxa"/>
          <w:left w:w="0" w:type="dxa"/>
          <w:bottom w:w="0" w:type="dxa"/>
          <w:right w:w="0" w:type="dxa"/>
        </w:tblCellMar>
      </w:tblPr>
      <w:tblGrid>
        <w:gridCol w:w="2645"/>
        <w:gridCol w:w="60"/>
        <w:gridCol w:w="201"/>
        <w:gridCol w:w="1408"/>
        <w:gridCol w:w="60"/>
        <w:gridCol w:w="60"/>
        <w:gridCol w:w="244"/>
        <w:gridCol w:w="1710"/>
        <w:gridCol w:w="75"/>
      </w:tblGrid>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21" w:name="xdx_49C_20260331_zmU2yLP4LF43"/>
            <w:bookmarkEnd w:id="321"/>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B_20251231_zvnw7fdx7aRf"/>
            <w:bookmarkEnd w:id="32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323" w:name="xdx_40D_eus-gaap--AccruedRoyaltiesCurren"/>
            <w:bookmarkEnd w:id="323"/>
          </w:p>
        </w:tc>
      </w:tr>
      <w:tr>
        <w:trPr/>
        <w:tc>
          <w:tcPr>
            <w:tcW w:w="2645" w:type="dxa"/>
            <w:tcBorders/>
            <w:shd w:fill="CCEEFF" w:val="clear"/>
            <w:vAlign w:val="center"/>
          </w:tcPr>
          <w:p>
            <w:pPr>
              <w:pStyle w:val="TableContents"/>
              <w:bidi w:val="0"/>
              <w:spacing w:before="0" w:after="283"/>
              <w:jc w:val="both"/>
              <w:rPr/>
            </w:pPr>
            <w:r>
              <w:rPr/>
              <w:t>Accrued royalties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400,640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366,677</w:t>
            </w:r>
          </w:p>
        </w:tc>
        <w:tc>
          <w:tcPr>
            <w:tcW w:w="75" w:type="dxa"/>
            <w:tcBorders/>
            <w:shd w:fill="CCEEFF" w:val="clear"/>
            <w:vAlign w:val="center"/>
          </w:tcPr>
          <w:p>
            <w:pPr>
              <w:pStyle w:val="TableContents"/>
              <w:bidi w:val="0"/>
              <w:spacing w:before="0" w:after="283"/>
              <w:jc w:val="left"/>
              <w:rPr/>
            </w:pPr>
            <w:r>
              <w:rPr/>
              <w:t> </w:t>
            </w:r>
            <w:bookmarkStart w:id="324" w:name="xdx_403_eus-gaap--AccruedProfessionalFee"/>
            <w:bookmarkEnd w:id="324"/>
          </w:p>
        </w:tc>
      </w:tr>
      <w:tr>
        <w:trPr/>
        <w:tc>
          <w:tcPr>
            <w:tcW w:w="2645" w:type="dxa"/>
            <w:tcBorders/>
            <w:shd w:fill="FFFFFF" w:val="clear"/>
            <w:vAlign w:val="center"/>
          </w:tcPr>
          <w:p>
            <w:pPr>
              <w:pStyle w:val="TableContents"/>
              <w:bidi w:val="0"/>
              <w:spacing w:before="0" w:after="283"/>
              <w:jc w:val="both"/>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129,371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60,421</w:t>
            </w:r>
          </w:p>
        </w:tc>
        <w:tc>
          <w:tcPr>
            <w:tcW w:w="75" w:type="dxa"/>
            <w:tcBorders/>
            <w:shd w:fill="FFFFFF" w:val="clear"/>
            <w:vAlign w:val="center"/>
          </w:tcPr>
          <w:p>
            <w:pPr>
              <w:pStyle w:val="TableContents"/>
              <w:bidi w:val="0"/>
              <w:spacing w:before="0" w:after="283"/>
              <w:jc w:val="left"/>
              <w:rPr/>
            </w:pPr>
            <w:r>
              <w:rPr/>
              <w:t> </w:t>
            </w:r>
            <w:bookmarkStart w:id="325" w:name="xdx_406_ecustom--AccruedDevelopmentCosts"/>
            <w:bookmarkEnd w:id="325"/>
          </w:p>
        </w:tc>
      </w:tr>
      <w:tr>
        <w:trPr/>
        <w:tc>
          <w:tcPr>
            <w:tcW w:w="2645" w:type="dxa"/>
            <w:tcBorders/>
            <w:shd w:fill="CCEEFF" w:val="clear"/>
            <w:vAlign w:val="center"/>
          </w:tcPr>
          <w:p>
            <w:pPr>
              <w:pStyle w:val="TableContents"/>
              <w:bidi w:val="0"/>
              <w:spacing w:before="0" w:after="283"/>
              <w:jc w:val="both"/>
              <w:rPr/>
            </w:pPr>
            <w:r>
              <w:rPr/>
              <w:t>Accrued development costs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95,460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93,145</w:t>
            </w:r>
          </w:p>
        </w:tc>
        <w:tc>
          <w:tcPr>
            <w:tcW w:w="75" w:type="dxa"/>
            <w:tcBorders/>
            <w:shd w:fill="CCEEFF" w:val="clear"/>
            <w:vAlign w:val="center"/>
          </w:tcPr>
          <w:p>
            <w:pPr>
              <w:pStyle w:val="TableContents"/>
              <w:bidi w:val="0"/>
              <w:spacing w:before="0" w:after="283"/>
              <w:jc w:val="left"/>
              <w:rPr/>
            </w:pPr>
            <w:r>
              <w:rPr/>
              <w:t> </w:t>
            </w:r>
            <w:bookmarkStart w:id="326" w:name="xdx_40E_eus-gaap--AccruedIncomeTaxesCurr"/>
            <w:bookmarkEnd w:id="326"/>
          </w:p>
        </w:tc>
      </w:tr>
      <w:tr>
        <w:trPr/>
        <w:tc>
          <w:tcPr>
            <w:tcW w:w="2645" w:type="dxa"/>
            <w:tcBorders/>
            <w:shd w:fill="FFFFFF" w:val="clear"/>
            <w:vAlign w:val="center"/>
          </w:tcPr>
          <w:p>
            <w:pPr>
              <w:pStyle w:val="TableContents"/>
              <w:bidi w:val="0"/>
              <w:spacing w:before="0" w:after="283"/>
              <w:jc w:val="both"/>
              <w:rPr/>
            </w:pPr>
            <w:r>
              <w:rPr/>
              <w:t>Accrued taxes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156,302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122,633</w:t>
            </w:r>
          </w:p>
        </w:tc>
        <w:tc>
          <w:tcPr>
            <w:tcW w:w="75" w:type="dxa"/>
            <w:tcBorders/>
            <w:shd w:fill="FFFFFF" w:val="clear"/>
            <w:vAlign w:val="center"/>
          </w:tcPr>
          <w:p>
            <w:pPr>
              <w:pStyle w:val="TableContents"/>
              <w:bidi w:val="0"/>
              <w:spacing w:before="0" w:after="283"/>
              <w:jc w:val="left"/>
              <w:rPr/>
            </w:pPr>
            <w:r>
              <w:rPr/>
              <w:t> </w:t>
            </w:r>
            <w:bookmarkStart w:id="327" w:name="xdx_408_eus-gaap--EmployeeRelatedLiabili"/>
            <w:bookmarkEnd w:id="327"/>
          </w:p>
        </w:tc>
      </w:tr>
      <w:tr>
        <w:trPr/>
        <w:tc>
          <w:tcPr>
            <w:tcW w:w="2645" w:type="dxa"/>
            <w:tcBorders/>
            <w:shd w:fill="CCEEFF" w:val="clear"/>
            <w:vAlign w:val="center"/>
          </w:tcPr>
          <w:p>
            <w:pPr>
              <w:pStyle w:val="TableContents"/>
              <w:bidi w:val="0"/>
              <w:spacing w:before="0" w:after="283"/>
              <w:jc w:val="both"/>
              <w:rPr/>
            </w:pPr>
            <w:r>
              <w:rPr/>
              <w:t>Accrued payroll</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593,561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570,123</w:t>
            </w:r>
          </w:p>
        </w:tc>
        <w:tc>
          <w:tcPr>
            <w:tcW w:w="75" w:type="dxa"/>
            <w:tcBorders/>
            <w:shd w:fill="CCEEFF" w:val="clear"/>
            <w:vAlign w:val="center"/>
          </w:tcPr>
          <w:p>
            <w:pPr>
              <w:pStyle w:val="TableContents"/>
              <w:bidi w:val="0"/>
              <w:spacing w:before="0" w:after="283"/>
              <w:jc w:val="left"/>
              <w:rPr/>
            </w:pPr>
            <w:r>
              <w:rPr/>
              <w:t> </w:t>
            </w:r>
            <w:bookmarkStart w:id="328" w:name="xdx_409_eus-gaap--OtherAccruedLiabilitie"/>
            <w:bookmarkEnd w:id="328"/>
          </w:p>
        </w:tc>
      </w:tr>
      <w:tr>
        <w:trPr/>
        <w:tc>
          <w:tcPr>
            <w:tcW w:w="2645" w:type="dxa"/>
            <w:tcBorders/>
            <w:shd w:fill="FFFFFF" w:val="clear"/>
            <w:vAlign w:val="center"/>
          </w:tcPr>
          <w:p>
            <w:pPr>
              <w:pStyle w:val="TableContents"/>
              <w:bidi w:val="0"/>
              <w:spacing w:before="0" w:after="283"/>
              <w:jc w:val="both"/>
              <w:rPr/>
            </w:pPr>
            <w:r>
              <w:rPr/>
              <w:t>Accrued other</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86,400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80,207</w:t>
            </w:r>
          </w:p>
        </w:tc>
        <w:tc>
          <w:tcPr>
            <w:tcW w:w="75" w:type="dxa"/>
            <w:tcBorders/>
            <w:shd w:fill="FFFFFF" w:val="clear"/>
            <w:vAlign w:val="center"/>
          </w:tcPr>
          <w:p>
            <w:pPr>
              <w:pStyle w:val="TableContents"/>
              <w:bidi w:val="0"/>
              <w:spacing w:before="0" w:after="283"/>
              <w:jc w:val="left"/>
              <w:rPr/>
            </w:pPr>
            <w:r>
              <w:rPr/>
              <w:t> </w:t>
            </w:r>
            <w:bookmarkStart w:id="329" w:name="xdx_401_eus-gaap--AccruedLiabilitiesCurr"/>
            <w:bookmarkEnd w:id="329"/>
          </w:p>
        </w:tc>
      </w:tr>
      <w:tr>
        <w:trPr/>
        <w:tc>
          <w:tcPr>
            <w:tcW w:w="264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1,461,734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pPr>
            <w:r>
              <w:rPr/>
              <w:t>1,293,206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0" w:name="xdx_8A2_zPtotSrLYzTg"/>
      <w:bookmarkEnd w:id="33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collected in advance of the event is recorded as deferred revenue until the event occurs. Development, coding and subscription revenues are also recorded as deferred revenue until the Company’s performance obligation is performed. Furthermore, deferred revenue includes payment advances from the Company’s channel partners and sales transactions including future update rights and online hosting performance obligations, which are subject to deferral and recognized over the estimated offering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in the period from amounts included in contract liability at the beginning of the period was approximately $</w:t>
      </w:r>
      <w:bookmarkStart w:id="331" w:name="xdx_905_eus-gaap--ContractWithCustomerLi"/>
      <w:bookmarkEnd w:id="331"/>
      <w:r>
        <w:rPr>
          <w:rFonts w:ascii="Times New Roman;Times;Serif" w:hAnsi="Times New Roman;Times;Serif"/>
          <w:b w:val="false"/>
          <w:i w:val="false"/>
          <w:caps w:val="false"/>
          <w:smallCaps w:val="false"/>
          <w:sz w:val="20"/>
        </w:rPr>
        <w:t>0.7 million and $</w:t>
      </w:r>
      <w:bookmarkStart w:id="332" w:name="xdx_905_eus-gaap--ContractWithCustomerLi"/>
      <w:bookmarkEnd w:id="332"/>
      <w:r>
        <w:rPr>
          <w:rFonts w:ascii="Times New Roman;Times;Serif" w:hAnsi="Times New Roman;Times;Serif"/>
          <w:b w:val="false"/>
          <w:i w:val="false"/>
          <w:caps w:val="false"/>
          <w:smallCaps w:val="false"/>
          <w:sz w:val="20"/>
        </w:rPr>
        <w:t>0.3 million for each of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3" w:name="xdx_80D_eus-gaap--DebtDisclosureTextBloc"/>
      <w:bookmarkEnd w:id="333"/>
      <w:r>
        <w:rPr>
          <w:rFonts w:ascii="Times New Roman;Times;Serif" w:hAnsi="Times New Roman;Times;Serif"/>
          <w:b/>
          <w:i w:val="false"/>
          <w:caps w:val="false"/>
          <w:smallCaps w:val="false"/>
          <w:sz w:val="20"/>
        </w:rPr>
        <w:t xml:space="preserve">NOTE 5 – </w:t>
      </w:r>
      <w:bookmarkStart w:id="334" w:name="xdx_821_zhYxafnI35Y8"/>
      <w:bookmarkEnd w:id="334"/>
      <w:r>
        <w:rPr>
          <w:rFonts w:ascii="Times New Roman;Times;Serif" w:hAnsi="Times New Roman;Times;Serif"/>
          <w:b/>
          <w:i w:val="false"/>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the Company entered into a business loan agreement (the “Credit Agreement”) with Citibank, N.A. (“Citibank”), pursuant to which Citibank provided the Company with a revolving line of credit of up to $</w:t>
      </w:r>
      <w:bookmarkStart w:id="335" w:name="xdx_907_eus-gaap--LineOfCreditFacilityMa"/>
      <w:bookmarkEnd w:id="335"/>
      <w:r>
        <w:rPr>
          <w:rFonts w:ascii="Times New Roman;Times;Serif" w:hAnsi="Times New Roman;Times;Serif"/>
          <w:b w:val="false"/>
          <w:i w:val="false"/>
          <w:caps w:val="false"/>
          <w:smallCaps w:val="false"/>
          <w:sz w:val="20"/>
        </w:rPr>
        <w:t xml:space="preserve">3.0 million at an interest rate equal to the Adjusted Term SOFR (as defined in the Credit Agreement) plus </w:t>
      </w:r>
      <w:bookmarkStart w:id="336" w:name="xdx_90C_eus-gaap--DebtInstrumentInterest"/>
      <w:bookmarkEnd w:id="336"/>
      <w:r>
        <w:rPr>
          <w:rFonts w:ascii="Times New Roman;Times;Serif" w:hAnsi="Times New Roman;Times;Serif"/>
          <w:b w:val="false"/>
          <w:i w:val="false"/>
          <w:caps w:val="false"/>
          <w:smallCaps w:val="false"/>
          <w:sz w:val="20"/>
        </w:rPr>
        <w:t xml:space="preserve">2.250%, subject to increase upon an event of default. The Adjusted Term SOFR has a floor of </w:t>
      </w:r>
      <w:bookmarkStart w:id="337" w:name="xdx_90C_eus-gaap--DebtInstrumentInterest"/>
      <w:bookmarkEnd w:id="337"/>
      <w:r>
        <w:rPr>
          <w:rFonts w:ascii="Times New Roman;Times;Serif" w:hAnsi="Times New Roman;Times;Serif"/>
          <w:b w:val="false"/>
          <w:i w:val="false"/>
          <w:caps w:val="false"/>
          <w:smallCaps w:val="false"/>
          <w:sz w:val="20"/>
        </w:rPr>
        <w:t>0.75%. The revolving line of credit is evidenced by a promissory note (the “Citibank Promissory Note”) that the Company issued to Citibank in the principal amount of up to $</w:t>
      </w:r>
      <w:bookmarkStart w:id="338" w:name="xdx_90E_eus-gaap--DebtInstrumentFaceAmou"/>
      <w:bookmarkEnd w:id="338"/>
      <w:r>
        <w:rPr>
          <w:rFonts w:ascii="Times New Roman;Times;Serif" w:hAnsi="Times New Roman;Times;Serif"/>
          <w:b w:val="false"/>
          <w:i w:val="false"/>
          <w:caps w:val="false"/>
          <w:smallCaps w:val="false"/>
          <w:sz w:val="20"/>
        </w:rPr>
        <w:t xml:space="preserve">3.0 million. The Citibank Promissory Note has a stated maturity date of </w:t>
      </w:r>
      <w:bookmarkStart w:id="339" w:name="xdx_903_eus-gaap--DebtInstrumentMaturity"/>
      <w:bookmarkEnd w:id="339"/>
      <w:r>
        <w:rPr>
          <w:rFonts w:ascii="Times New Roman;Times;Serif" w:hAnsi="Times New Roman;Times;Serif"/>
          <w:b w:val="false"/>
          <w:i w:val="false"/>
          <w:caps w:val="false"/>
          <w:smallCaps w:val="false"/>
          <w:sz w:val="20"/>
        </w:rPr>
        <w:t>February 20, 2027. The Company also entered into a commercial security agreement pursuant to which Citibank was granted a lien on substantially all of the Company’s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0" w:name="xdx_90E_eus-gaap--LineOfCreditFacilityRe"/>
      <w:bookmarkEnd w:id="340"/>
      <w:r>
        <w:rPr>
          <w:rFonts w:ascii="Times New Roman;Times;Serif" w:hAnsi="Times New Roman;Times;Serif"/>
          <w:b w:val="false"/>
          <w:i w:val="false"/>
          <w:caps w:val="false"/>
          <w:smallCaps w:val="false"/>
          <w:sz w:val="20"/>
        </w:rPr>
        <w:t>The Credit Agreement includes certain affirmative covenants related to conducting our business and maintaining certain levels of cash flow and fixed charges, including a requirement to maintain a Fixed Charge Coverage Ratio (as defined in the Credit Agreement) in excess of 1.200 to 1.000 and a Cash Flow Leverage Ratio (as such term is defined in the Credit Agreement) not in excess of 2.500 to 1.000. The Credit Agreement also contains negative covenants including prohibitions on the creation or existence of any liens or security interests on our assets. The Credit Agreement also contains events of default, including failure to make payments under the Note or any related documents, failure to comply with covenants, obligations or conditions contained in the Note or any related document, defaults under other loans, extension of credit or security agreement and any change in our ownership of twenty five percent (25%) or more of our common stock. The occurrence of an event of default can result in the exercise of remedies including an increase in the applicable rate of interest by 3.00% and declaration that all outstanding amounts owed under the Citibank Promissory Note immediately become due and payable. As of March 31, 2026, the balance due to Citibank under the Credit Agreement was $</w:t>
      </w:r>
      <w:bookmarkStart w:id="341" w:name="xdx_903_eus-gaap--LinesOfCreditCurrent_i"/>
      <w:bookmarkEnd w:id="341"/>
      <w:r>
        <w:rPr>
          <w:rFonts w:ascii="Times New Roman;Times;Serif" w:hAnsi="Times New Roman;Times;Serif"/>
          <w:b w:val="false"/>
          <w:i w:val="false"/>
          <w:caps w:val="false"/>
          <w:smallCaps w:val="false"/>
          <w:sz w:val="20"/>
        </w:rPr>
        <w:t>0. The Company is currently in compliance with all covenants related to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2026, Citibank extended the maturity date of the Credit Agreement to </w:t>
      </w:r>
      <w:bookmarkStart w:id="342" w:name="xdx_90A_eus-gaap--DebtInstrumentMaturity"/>
      <w:bookmarkEnd w:id="342"/>
      <w:r>
        <w:rPr>
          <w:rFonts w:ascii="Times New Roman;Times;Serif" w:hAnsi="Times New Roman;Times;Serif"/>
          <w:b w:val="false"/>
          <w:i w:val="false"/>
          <w:caps w:val="false"/>
          <w:smallCaps w:val="false"/>
          <w:sz w:val="20"/>
        </w:rPr>
        <w:t>February 20,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6_eus-gaap--RelatedPartyTransactio"/>
      <w:bookmarkEnd w:id="343"/>
      <w:r>
        <w:rPr>
          <w:rFonts w:ascii="Times New Roman;Times;Serif" w:hAnsi="Times New Roman;Times;Serif"/>
          <w:b/>
          <w:i w:val="false"/>
          <w:caps w:val="false"/>
          <w:smallCaps w:val="false"/>
          <w:sz w:val="20"/>
        </w:rPr>
        <w:t xml:space="preserve">NOTE 6 – </w:t>
      </w:r>
      <w:bookmarkStart w:id="344" w:name="xdx_82B_zYnIadxQUYYk"/>
      <w:bookmarkEnd w:id="344"/>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Party Revenue and Receivable - Pimax Innovation Co.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recorded approximately $</w:t>
      </w:r>
      <w:bookmarkStart w:id="345" w:name="xdx_909_eus-gaap--RelatedPartyDepositLia"/>
      <w:bookmarkEnd w:id="345"/>
      <w:r>
        <w:rPr>
          <w:rFonts w:ascii="Times New Roman;Times;Serif" w:hAnsi="Times New Roman;Times;Serif"/>
          <w:b w:val="false"/>
          <w:i w:val="false"/>
          <w:caps w:val="false"/>
          <w:smallCaps w:val="false"/>
          <w:sz w:val="20"/>
        </w:rPr>
        <w:t>11,000 worth of gaming revenues with Pimax Innovation Co. Limited, an affiliate of a significant minority shareholder of the Company. As of March 31, 2026, the Company had a receivable balance of approximately $</w:t>
      </w:r>
      <w:bookmarkStart w:id="346" w:name="xdx_907_eus-gaap--AccountsReceivableNet_"/>
      <w:bookmarkEnd w:id="346"/>
      <w:r>
        <w:rPr>
          <w:rFonts w:ascii="Times New Roman;Times;Serif" w:hAnsi="Times New Roman;Times;Serif"/>
          <w:b w:val="false"/>
          <w:i w:val="false"/>
          <w:caps w:val="false"/>
          <w:smallCaps w:val="false"/>
          <w:sz w:val="20"/>
        </w:rPr>
        <w:t>6,000, which was recorded in accounts receivable, net on the accompanying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Related Party Transactions – Driven Lifestyle Group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other related party payables outstanding as of March 31, 2026 and December 31, 2025. Specifically, the Company owed approximately $</w:t>
      </w:r>
      <w:bookmarkStart w:id="347" w:name="xdx_901_eus-gaap--OtherLiabilities_iI_c2"/>
      <w:bookmarkStart w:id="348" w:name="xdx_90E_eus-gaap--OtherLiabilities_iI_c2"/>
      <w:bookmarkEnd w:id="347"/>
      <w:bookmarkEnd w:id="348"/>
      <w:r>
        <w:rPr>
          <w:rFonts w:ascii="Times New Roman;Times;Serif" w:hAnsi="Times New Roman;Times;Serif"/>
          <w:b w:val="false"/>
          <w:i w:val="false"/>
          <w:caps w:val="false"/>
          <w:smallCaps w:val="false"/>
          <w:sz w:val="20"/>
        </w:rPr>
        <w:t>3,000 to its related parties as a related party payable as of March 31, 2026 and December 31, 2025. During each of the three months ended March 31, 2026 and 2025, approximately $</w:t>
      </w:r>
      <w:bookmarkStart w:id="349" w:name="xdx_909_eus-gaap--RepaymentsOfRelatedPar"/>
      <w:bookmarkEnd w:id="349"/>
      <w:r>
        <w:rPr>
          <w:rFonts w:ascii="Times New Roman;Times;Serif" w:hAnsi="Times New Roman;Times;Serif"/>
          <w:b w:val="false"/>
          <w:i w:val="false"/>
          <w:caps w:val="false"/>
          <w:smallCaps w:val="false"/>
          <w:sz w:val="20"/>
        </w:rPr>
        <w:t>0.0 million and $</w:t>
      </w:r>
      <w:bookmarkStart w:id="350" w:name="xdx_908_eus-gaap--RepaymentsOfRelatedPar"/>
      <w:bookmarkEnd w:id="350"/>
      <w:r>
        <w:rPr>
          <w:rFonts w:ascii="Times New Roman;Times;Serif" w:hAnsi="Times New Roman;Times;Serif"/>
          <w:b w:val="false"/>
          <w:i w:val="false"/>
          <w:caps w:val="false"/>
          <w:smallCaps w:val="false"/>
          <w:sz w:val="20"/>
        </w:rPr>
        <w:t>0.1 million was paid to related parties in settlement of related party payables,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Backoffice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entered into a Backoffice Services Agreement with Driven Lifestyle for rent, development and other services to support the Company’s business functions, which was amended periodically to reduce scope, and ultimately terminated on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March 31, 2025, the Company incurred $</w:t>
      </w:r>
      <w:bookmarkStart w:id="351" w:name="xdx_902_eus-gaap--PaymentsForRent_c20260"/>
      <w:bookmarkEnd w:id="351"/>
      <w:r>
        <w:rPr>
          <w:rFonts w:ascii="Times New Roman;Times;Serif" w:hAnsi="Times New Roman;Times;Serif"/>
          <w:b w:val="false"/>
          <w:i w:val="false"/>
          <w:caps w:val="false"/>
          <w:smallCaps w:val="false"/>
          <w:sz w:val="20"/>
        </w:rPr>
        <w:t>0 and $</w:t>
      </w:r>
      <w:bookmarkStart w:id="352" w:name="xdx_907_eus-gaap--PaymentsForRent_c20250"/>
      <w:bookmarkEnd w:id="352"/>
      <w:r>
        <w:rPr>
          <w:rFonts w:ascii="Times New Roman;Times;Serif" w:hAnsi="Times New Roman;Times;Serif"/>
          <w:b w:val="false"/>
          <w:i w:val="false"/>
          <w:caps w:val="false"/>
          <w:smallCaps w:val="false"/>
          <w:sz w:val="20"/>
        </w:rPr>
        <w:t>37,500, respectively, in fees in connection with the Revised Backoffice Services Agreement, which is presented in general and administrative expenses within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the Company entered into a Share Repurchase Agreement with Driven Lifestyle. See Note 12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3" w:name="xdx_800_eus-gaap--StockholdersEquityNote"/>
      <w:bookmarkEnd w:id="353"/>
      <w:r>
        <w:rPr>
          <w:rFonts w:ascii="Times New Roman;Times;Serif" w:hAnsi="Times New Roman;Times;Serif"/>
          <w:b/>
          <w:i w:val="false"/>
          <w:caps w:val="false"/>
          <w:smallCaps w:val="false"/>
          <w:sz w:val="20"/>
        </w:rPr>
        <w:t xml:space="preserve">NOTE 7 – </w:t>
      </w:r>
      <w:bookmarkStart w:id="354" w:name="xdx_82A_zelUDVyWWvua"/>
      <w:bookmarkEnd w:id="35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had </w:t>
      </w:r>
      <w:bookmarkStart w:id="355" w:name="xdx_905_eus-gaap--CommonStockSharesOutst"/>
      <w:bookmarkEnd w:id="355"/>
      <w:r>
        <w:rPr>
          <w:rFonts w:ascii="Times New Roman;Times;Serif" w:hAnsi="Times New Roman;Times;Serif"/>
          <w:b w:val="false"/>
          <w:i w:val="false"/>
          <w:caps w:val="false"/>
          <w:smallCaps w:val="false"/>
          <w:sz w:val="20"/>
        </w:rPr>
        <w:t xml:space="preserve">5,078,450 shares of Class A common stock and </w:t>
      </w:r>
      <w:bookmarkStart w:id="356" w:name="xdx_90A_eus-gaap--CommonStockSharesOutst"/>
      <w:bookmarkEnd w:id="356"/>
      <w:r>
        <w:rPr>
          <w:rFonts w:ascii="Times New Roman;Times;Serif" w:hAnsi="Times New Roman;Times;Serif"/>
          <w:b w:val="false"/>
          <w:i w:val="false"/>
          <w:caps w:val="false"/>
          <w:smallCaps w:val="false"/>
          <w:sz w:val="20"/>
        </w:rPr>
        <w:t>700,000 shares of Class B common stock outstanding. Holders of Class A and Class B common stock are entitled to one vote and ten votes, respectively, for each share held on all matters submitted to a vote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all shares of Class B common stock outstanding were canceled. See Note 12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7" w:name="xdx_899_eus-gaap--ScheduleOfStockholders"/>
      <w:bookmarkEnd w:id="357"/>
      <w:r>
        <w:rPr>
          <w:rFonts w:ascii="Times New Roman;Times;Serif" w:hAnsi="Times New Roman;Times;Serif"/>
          <w:b w:val="false"/>
          <w:i w:val="false"/>
          <w:caps w:val="false"/>
          <w:smallCaps w:val="false"/>
          <w:sz w:val="20"/>
        </w:rPr>
        <w:t>The Company had the following warrants outstanding as of March 31,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8" w:name="xdx_8BF_zv658TRc6eDb"/>
      <w:bookmarkEnd w:id="358"/>
      <w:r>
        <w:rPr>
          <w:rFonts w:ascii="Times New Roman;Times;Serif" w:hAnsi="Times New Roman;Times;Serif"/>
          <w:b w:val="false"/>
          <w:i w:val="false"/>
          <w:caps w:val="false"/>
          <w:smallCaps w:val="false"/>
          <w:sz w:val="20"/>
        </w:rPr>
        <w:t>SCHEDULE OF WARRANTS OUTSTANDING</w:t>
      </w:r>
    </w:p>
    <w:tbl>
      <w:tblPr>
        <w:tblW w:w="7733" w:type="dxa"/>
        <w:jc w:val="left"/>
        <w:tblInd w:w="0" w:type="dxa"/>
        <w:tblLayout w:type="fixed"/>
        <w:tblCellMar>
          <w:top w:w="0" w:type="dxa"/>
          <w:left w:w="0" w:type="dxa"/>
          <w:bottom w:w="0" w:type="dxa"/>
          <w:right w:w="0" w:type="dxa"/>
        </w:tblCellMar>
      </w:tblPr>
      <w:tblGrid>
        <w:gridCol w:w="2255"/>
        <w:gridCol w:w="60"/>
        <w:gridCol w:w="1400"/>
        <w:gridCol w:w="60"/>
        <w:gridCol w:w="102"/>
        <w:gridCol w:w="1192"/>
        <w:gridCol w:w="60"/>
        <w:gridCol w:w="60"/>
        <w:gridCol w:w="335"/>
        <w:gridCol w:w="1304"/>
        <w:gridCol w:w="60"/>
        <w:gridCol w:w="60"/>
        <w:gridCol w:w="785"/>
      </w:tblGrid>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59" w:name="xdx_489_ecustom--RegisteredDirectOfferin"/>
            <w:bookmarkEnd w:id="359"/>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0" w:name="xdx_910_ecustom--RegisteredDirectOfferin"/>
            <w:bookmarkEnd w:id="360"/>
            <w:r>
              <w:rPr>
                <w:rFonts w:ascii="Times New Roman;Times;Serif" w:hAnsi="Times New Roman;Times;Serif"/>
                <w:b w:val="false"/>
                <w:i w:val="false"/>
                <w:caps w:val="false"/>
                <w:smallCaps w:val="false"/>
                <w:sz w:val="20"/>
              </w:rPr>
              <w:t>Offering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1" w:name="xdx_484_ecustom--WarrantStrikePrice_zKMP"/>
            <w:bookmarkEnd w:id="361"/>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2" w:name="xdx_91F_ecustom--WarrantStrikePrice_zEu8"/>
            <w:bookmarkEnd w:id="362"/>
            <w:r>
              <w:rPr>
                <w:rFonts w:ascii="Times New Roman;Times;Serif" w:hAnsi="Times New Roman;Times;Serif"/>
                <w:b w:val="false"/>
                <w:i w:val="false"/>
                <w:caps w:val="false"/>
                <w:smallCaps w:val="false"/>
                <w:sz w:val="20"/>
              </w:rPr>
              <w:t>Warrant Strike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w:t>
              <w:br/>
              <w:t>Term</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years)</w:t>
            </w:r>
            <w:bookmarkStart w:id="363" w:name="xdx_41D_20260101__20260331__us-gaap--Awa"/>
            <w:bookmarkEnd w:id="363"/>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direct offering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4" w:name="xdx_90F_eus-gaap--ClassOfWarrantOrRightO"/>
            <w:bookmarkEnd w:id="364"/>
            <w:r>
              <w:rPr>
                <w:rFonts w:ascii="Times New Roman;Times;Serif" w:hAnsi="Times New Roman;Times;Serif"/>
                <w:b w:val="false"/>
                <w:i w:val="false"/>
                <w:caps w:val="false"/>
                <w:smallCaps w:val="false"/>
                <w:sz w:val="20"/>
              </w:rPr>
              <w:t>10,981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5" w:name="xdx_907_eus-gaap--WarrantsAndRightsOutst"/>
            <w:bookmarkEnd w:id="365"/>
            <w:r>
              <w:rPr>
                <w:rFonts w:ascii="Times New Roman;Times;Serif" w:hAnsi="Times New Roman;Times;Serif"/>
                <w:b w:val="false"/>
                <w:i w:val="false"/>
                <w:caps w:val="false"/>
                <w:smallCaps w:val="false"/>
                <w:sz w:val="20"/>
              </w:rPr>
              <w:t xml:space="preserve">5.0 </w:t>
            </w:r>
            <w:bookmarkStart w:id="366" w:name="xdx_412_20260101__20260331__us-gaap--Awa"/>
            <w:bookmarkEnd w:id="366"/>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direct offering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67" w:name="xdx_905_eus-gaap--ClassOfWarrantOrRightO"/>
            <w:bookmarkEnd w:id="367"/>
            <w:r>
              <w:rPr>
                <w:rFonts w:ascii="Times New Roman;Times;Serif" w:hAnsi="Times New Roman;Times;Serif"/>
                <w:b w:val="false"/>
                <w:i w:val="false"/>
                <w:caps w:val="false"/>
                <w:smallCaps w:val="false"/>
                <w:sz w:val="20"/>
              </w:rPr>
              <w:t>8,662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8" w:name="xdx_90E_eus-gaap--WarrantsAndRightsOutst"/>
            <w:bookmarkEnd w:id="368"/>
            <w:r>
              <w:rPr>
                <w:rFonts w:ascii="Times New Roman;Times;Serif" w:hAnsi="Times New Roman;Times;Serif"/>
                <w:b w:val="false"/>
                <w:i w:val="false"/>
                <w:caps w:val="false"/>
                <w:smallCaps w:val="false"/>
                <w:sz w:val="20"/>
              </w:rPr>
              <w:t xml:space="preserve">5.0 </w:t>
            </w:r>
            <w:bookmarkStart w:id="369" w:name="xdx_418_20260101__20260331__us-gaap--Awa"/>
            <w:bookmarkEnd w:id="369"/>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direct offering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3,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0" w:name="xdx_90B_eus-gaap--ClassOfWarrantOrRightO"/>
            <w:bookmarkEnd w:id="370"/>
            <w:r>
              <w:rPr>
                <w:rFonts w:ascii="Times New Roman;Times;Serif" w:hAnsi="Times New Roman;Times;Serif"/>
                <w:b w:val="false"/>
                <w:i w:val="false"/>
                <w:caps w:val="false"/>
                <w:smallCaps w:val="false"/>
                <w:sz w:val="20"/>
              </w:rPr>
              <w:t>13,931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1" w:name="xdx_90D_eus-gaap--WarrantsAndRightsOutst"/>
            <w:bookmarkEnd w:id="371"/>
            <w:r>
              <w:rPr>
                <w:rFonts w:ascii="Times New Roman;Times;Serif" w:hAnsi="Times New Roman;Times;Serif"/>
                <w:b w:val="false"/>
                <w:i w:val="false"/>
                <w:caps w:val="false"/>
                <w:smallCaps w:val="false"/>
                <w:sz w:val="20"/>
              </w:rPr>
              <w:t xml:space="preserve">5.0 </w:t>
            </w:r>
            <w:bookmarkStart w:id="372" w:name="xdx_415_20260101__20260331__us-gaap--Awa"/>
            <w:bookmarkEnd w:id="372"/>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3" w:name="xdx_90E_eus-gaap--ClassOfWarrantOrRightO"/>
            <w:bookmarkEnd w:id="373"/>
            <w:r>
              <w:rPr>
                <w:rFonts w:ascii="Times New Roman;Times;Serif" w:hAnsi="Times New Roman;Times;Serif"/>
                <w:b w:val="false"/>
                <w:i w:val="false"/>
                <w:caps w:val="false"/>
                <w:smallCaps w:val="false"/>
                <w:sz w:val="20"/>
              </w:rPr>
              <w:t>460,830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4" w:name="xdx_901_eus-gaap--WarrantsAndRightsOutst"/>
            <w:bookmarkEnd w:id="374"/>
            <w:r>
              <w:rPr>
                <w:rFonts w:ascii="Times New Roman;Times;Serif" w:hAnsi="Times New Roman;Times;Serif"/>
                <w:b w:val="false"/>
                <w:i w:val="false"/>
                <w:caps w:val="false"/>
                <w:smallCaps w:val="false"/>
                <w:sz w:val="20"/>
              </w:rPr>
              <w:t>5.5 (a)</w:t>
            </w:r>
            <w:bookmarkStart w:id="375" w:name="xdx_417_20260101__20260331__us-gaap--Awa"/>
            <w:bookmarkEnd w:id="375"/>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6" w:name="xdx_90E_eus-gaap--ClassOfWarrantOrRightO"/>
            <w:bookmarkEnd w:id="376"/>
            <w:r>
              <w:rPr>
                <w:rFonts w:ascii="Times New Roman;Times;Serif" w:hAnsi="Times New Roman;Times;Serif"/>
                <w:b w:val="false"/>
                <w:i w:val="false"/>
                <w:caps w:val="false"/>
                <w:smallCaps w:val="false"/>
                <w:sz w:val="20"/>
              </w:rPr>
              <w:t>460,830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77" w:name="xdx_90A_eus-gaap--WarrantsAndRightsOutst"/>
            <w:bookmarkEnd w:id="377"/>
            <w:r>
              <w:rPr>
                <w:rFonts w:ascii="Times New Roman;Times;Serif" w:hAnsi="Times New Roman;Times;Serif"/>
                <w:b w:val="false"/>
                <w:i w:val="false"/>
                <w:caps w:val="false"/>
                <w:smallCaps w:val="false"/>
                <w:sz w:val="20"/>
              </w:rPr>
              <w:t>1.5 (a)</w:t>
            </w:r>
            <w:bookmarkStart w:id="378" w:name="xdx_418_20260101__20260331__us-gaap--Awa"/>
            <w:bookmarkEnd w:id="378"/>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79" w:name="xdx_906_eus-gaap--ClassOfWarrantOrRightO"/>
            <w:bookmarkEnd w:id="379"/>
            <w:r>
              <w:rPr>
                <w:rFonts w:ascii="Times New Roman;Times;Serif" w:hAnsi="Times New Roman;Times;Serif"/>
                <w:b w:val="false"/>
                <w:i w:val="false"/>
                <w:caps w:val="false"/>
                <w:smallCaps w:val="false"/>
                <w:sz w:val="20"/>
              </w:rPr>
              <w:t>27,650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0" w:name="xdx_F05_zYV6LLCMSJba"/>
            <w:bookmarkEnd w:id="380"/>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1" w:name="xdx_F18_zl3fhsDvBJ9"/>
            <w:bookmarkEnd w:id="381"/>
            <w:r>
              <w:rPr>
                <w:rFonts w:ascii="Times New Roman;Times;Serif" w:hAnsi="Times New Roman;Times;Serif"/>
                <w:b w:val="false"/>
                <w:i w:val="false"/>
                <w:caps w:val="false"/>
                <w:smallCaps w:val="false"/>
                <w:sz w:val="20"/>
              </w:rPr>
              <w:t xml:space="preserve">The warrants will become exercisable on the effective date of the stockholder approval for the issuance of the shares of Class A common stock issuable upon exercise of the warrants. As of March 31, 2026, the warrants had not been approved by stockholders. On April 22, 2026, the warrants were approved by stockholders. As a result of the action taken by the Company’s stockholders at the Annual Meeting the Series A Warrants will expire on October 23, 2031, and the Series B Warrants expire on October 25, 2027. </w:t>
            </w:r>
          </w:p>
        </w:tc>
      </w:tr>
    </w:tbl>
    <w:p>
      <w:pPr>
        <w:pStyle w:val="TextBody"/>
        <w:bidi w:val="0"/>
        <w:spacing w:before="0" w:after="0"/>
        <w:ind w:left="0" w:right="0" w:hanging="0"/>
        <w:jc w:val="both"/>
        <w:rPr>
          <w:caps w:val="false"/>
          <w:smallCaps w:val="false"/>
        </w:rPr>
      </w:pPr>
      <w:bookmarkStart w:id="382" w:name="xdx_8AB_zDYRiJWla2al"/>
      <w:bookmarkEnd w:id="38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br/>
        <w:t>Notes to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February 2023 warrants were assessed to have a fair value of approximately $</w:t>
      </w:r>
      <w:bookmarkStart w:id="383" w:name="xdx_900_eus-gaap--LiabilitiesFairValueDi"/>
      <w:bookmarkEnd w:id="383"/>
      <w:r>
        <w:rPr>
          <w:rFonts w:ascii="Times New Roman;Times;Serif" w:hAnsi="Times New Roman;Times;Serif"/>
          <w:b w:val="false"/>
          <w:i w:val="false"/>
          <w:caps w:val="false"/>
          <w:smallCaps w:val="false"/>
          <w:sz w:val="20"/>
        </w:rPr>
        <w:t>27,000 and $</w:t>
      </w:r>
      <w:bookmarkStart w:id="384" w:name="xdx_905_eus-gaap--LiabilitiesFairValueDi"/>
      <w:bookmarkEnd w:id="384"/>
      <w:r>
        <w:rPr>
          <w:rFonts w:ascii="Times New Roman;Times;Serif" w:hAnsi="Times New Roman;Times;Serif"/>
          <w:b w:val="false"/>
          <w:i w:val="false"/>
          <w:caps w:val="false"/>
          <w:smallCaps w:val="false"/>
          <w:sz w:val="20"/>
        </w:rPr>
        <w:t>9,000, respectively, and deemed to be liability-classified awards, which were recorded within warrants and stock option liability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continued vote against approval to permit holders to exercise the warrants, the Series A, Series B and Placement Agent Warrants are deemed to be liability-classified awards with an immaterial balance as of March 31, 2026. On April 23, 2026, the Series A, Series B and Placement Agent Warrants were approved by stockholders. See Note 12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 Pre 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the Company entered into a securities purchase agreement with several institutional and accredited investors for the issuance and sale in the Private Placement of the following securities for aggregate gross proceeds of approximately $</w:t>
      </w:r>
      <w:bookmarkStart w:id="385" w:name="xdx_902_eus-gaap--ProceedsFromIssuanceOf"/>
      <w:bookmarkEnd w:id="385"/>
      <w:r>
        <w:rPr>
          <w:rFonts w:ascii="Times New Roman;Times;Serif" w:hAnsi="Times New Roman;Times;Serif"/>
          <w:b w:val="false"/>
          <w:i w:val="false"/>
          <w:caps w:val="false"/>
          <w:smallCaps w:val="false"/>
          <w:sz w:val="20"/>
        </w:rPr>
        <w:t xml:space="preserve">2.5 million: (i) </w:t>
      </w:r>
      <w:bookmarkStart w:id="386" w:name="xdx_90F_eus-gaap--SaleOfStockNumberOfSha"/>
      <w:bookmarkEnd w:id="386"/>
      <w:r>
        <w:rPr>
          <w:rFonts w:ascii="Times New Roman;Times;Serif" w:hAnsi="Times New Roman;Times;Serif"/>
          <w:b w:val="false"/>
          <w:i w:val="false"/>
          <w:caps w:val="false"/>
          <w:smallCaps w:val="false"/>
          <w:sz w:val="20"/>
        </w:rPr>
        <w:t>1,894,892 shares of the Company’s Class A common stock, par value $</w:t>
      </w:r>
      <w:bookmarkStart w:id="387" w:name="xdx_904_eus-gaap--CommonStockParOrStated"/>
      <w:bookmarkEnd w:id="387"/>
      <w:r>
        <w:rPr>
          <w:rFonts w:ascii="Times New Roman;Times;Serif" w:hAnsi="Times New Roman;Times;Serif"/>
          <w:b w:val="false"/>
          <w:i w:val="false"/>
          <w:caps w:val="false"/>
          <w:smallCaps w:val="false"/>
          <w:sz w:val="20"/>
        </w:rPr>
        <w:t xml:space="preserve">0.0001 and (ii) the Pre-Funded Warrant to purchase up to </w:t>
      </w:r>
      <w:bookmarkStart w:id="388" w:name="xdx_901_eus-gaap--SaleOfStockNumberOfSha"/>
      <w:bookmarkEnd w:id="388"/>
      <w:r>
        <w:rPr>
          <w:rFonts w:ascii="Times New Roman;Times;Serif" w:hAnsi="Times New Roman;Times;Serif"/>
          <w:b w:val="false"/>
          <w:i w:val="false"/>
          <w:caps w:val="false"/>
          <w:smallCaps w:val="false"/>
          <w:sz w:val="20"/>
        </w:rPr>
        <w:t>377,836 shares of Class A Common Stock at an exercise price of $</w:t>
      </w:r>
      <w:bookmarkStart w:id="389" w:name="xdx_90F_eus-gaap--ClassOfWarrantOrRightE"/>
      <w:bookmarkEnd w:id="389"/>
      <w:r>
        <w:rPr>
          <w:rFonts w:ascii="Times New Roman;Times;Serif" w:hAnsi="Times New Roman;Times;Serif"/>
          <w:b w:val="false"/>
          <w:i w:val="false"/>
          <w:caps w:val="false"/>
          <w:smallCaps w:val="false"/>
          <w:sz w:val="20"/>
        </w:rPr>
        <w:t>0.0001 per share (“the Pre-Funded Warrant”). The purchase price for one share of Class A Common Stock was $</w:t>
      </w:r>
      <w:bookmarkStart w:id="390" w:name="xdx_90E_eus-gaap--SaleOfStockPricePerSha"/>
      <w:bookmarkEnd w:id="390"/>
      <w:r>
        <w:rPr>
          <w:rFonts w:ascii="Times New Roman;Times;Serif" w:hAnsi="Times New Roman;Times;Serif"/>
          <w:b w:val="false"/>
          <w:i w:val="false"/>
          <w:caps w:val="false"/>
          <w:smallCaps w:val="false"/>
          <w:sz w:val="20"/>
        </w:rPr>
        <w:t>1.10 and the purchase price for one pre-funded warrant was $</w:t>
      </w:r>
      <w:bookmarkStart w:id="391" w:name="xdx_900_eus-gaap--SaleOfStockPricePerSha"/>
      <w:bookmarkEnd w:id="391"/>
      <w:r>
        <w:rPr>
          <w:rFonts w:ascii="Times New Roman;Times;Serif" w:hAnsi="Times New Roman;Times;Serif"/>
          <w:b w:val="false"/>
          <w:i w:val="false"/>
          <w:caps w:val="false"/>
          <w:smallCaps w:val="false"/>
          <w:sz w:val="20"/>
        </w:rPr>
        <w:t>1.0999 per share. The Company received net proceeds of approximately $</w:t>
      </w:r>
      <w:bookmarkStart w:id="392" w:name="xdx_90F_ecustom--ProceedsFromIssuanceOfP"/>
      <w:bookmarkEnd w:id="392"/>
      <w:r>
        <w:rPr>
          <w:rFonts w:ascii="Times New Roman;Times;Serif" w:hAnsi="Times New Roman;Times;Serif"/>
          <w:b w:val="false"/>
          <w:i w:val="false"/>
          <w:caps w:val="false"/>
          <w:smallCaps w:val="false"/>
          <w:sz w:val="20"/>
        </w:rPr>
        <w:t>2.35 million from the Private Placement, after deducting offering expenses paid by the Company. As of March 31, 2026, the Pre-Funded Warrant has not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3" w:name="xdx_80C_eus-gaap--DisclosureOfCompensati"/>
      <w:bookmarkEnd w:id="393"/>
      <w:r>
        <w:rPr>
          <w:rFonts w:ascii="Times New Roman;Times;Serif" w:hAnsi="Times New Roman;Times;Serif"/>
          <w:b/>
          <w:i w:val="false"/>
          <w:caps w:val="false"/>
          <w:smallCaps w:val="false"/>
          <w:sz w:val="20"/>
        </w:rPr>
        <w:t xml:space="preserve">NOTE 8 – </w:t>
      </w:r>
      <w:bookmarkStart w:id="394" w:name="xdx_826_zM3oyaxzndjb"/>
      <w:bookmarkEnd w:id="394"/>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12, 2021, in connection with its initial public offering, Motorsport Games established the Motorsport Games Inc. 2021 Equity Incentive Plan (the “MSGM 2021 Stock Plan”). The MSGM 2021 Stock Plan provides for the grant of options, stock appreciation rights, restricted stock awards, performance share awards and restricted stock unit awards, and initially authorized </w:t>
      </w:r>
      <w:bookmarkStart w:id="395" w:name="xdx_900_eus-gaap--ShareBasedCompensation"/>
      <w:bookmarkEnd w:id="395"/>
      <w:r>
        <w:rPr>
          <w:rFonts w:ascii="Times New Roman;Times;Serif" w:hAnsi="Times New Roman;Times;Serif"/>
          <w:b w:val="false"/>
          <w:i w:val="false"/>
          <w:caps w:val="false"/>
          <w:smallCaps w:val="false"/>
          <w:sz w:val="20"/>
        </w:rPr>
        <w:t xml:space="preserve">100,000 shares of Class A common stock to be available for issuance. As of March 31, 2026, there were </w:t>
      </w:r>
      <w:bookmarkStart w:id="396" w:name="xdx_900_eus-gaap--ShareBasedCompensation"/>
      <w:bookmarkEnd w:id="396"/>
      <w:r>
        <w:rPr>
          <w:rFonts w:ascii="Times New Roman;Times;Serif" w:hAnsi="Times New Roman;Times;Serif"/>
          <w:b w:val="false"/>
          <w:i w:val="false"/>
          <w:caps w:val="false"/>
          <w:smallCaps w:val="false"/>
          <w:sz w:val="20"/>
        </w:rPr>
        <w:t>no shares of Class A common stock available for issuance under the MSGM 2021 Stock Plan. Shares issued in connection with awards made under the MSGM 2021 Stock Plan are generally issued as new issuances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issue stock options under its MSGM 2021 Stock Plan during the three months ended March 31, 2026. As of March 31, 2026, there were </w:t>
      </w:r>
      <w:bookmarkStart w:id="397" w:name="xdx_906_eus-gaap--ShareBasedCompensation"/>
      <w:bookmarkEnd w:id="397"/>
      <w:r>
        <w:rPr>
          <w:rFonts w:ascii="Times New Roman;Times;Serif" w:hAnsi="Times New Roman;Times;Serif"/>
          <w:b w:val="false"/>
          <w:i w:val="false"/>
          <w:caps w:val="false"/>
          <w:smallCaps w:val="false"/>
          <w:sz w:val="20"/>
        </w:rPr>
        <w:t>96,828 options outstanding under the MSGM 2021 Stock Plan with a weighted average exercise price of $</w:t>
      </w:r>
      <w:bookmarkStart w:id="398" w:name="xdx_904_eus-gaap--ShareBasedCompensation"/>
      <w:bookmarkEnd w:id="398"/>
      <w:r>
        <w:rPr>
          <w:rFonts w:ascii="Times New Roman;Times;Serif" w:hAnsi="Times New Roman;Times;Serif"/>
          <w:b w:val="false"/>
          <w:i w:val="false"/>
          <w:caps w:val="false"/>
          <w:smallCaps w:val="false"/>
          <w:sz w:val="20"/>
        </w:rPr>
        <w:t xml:space="preserve">61.76. The majority of the options issued under the MSGM 2021 Stock Plan have time-based vesting schedules, typically vesting ratably over a three-year period. Certain stock option awards differed from this vesting schedule, as well as those made to the Company’s current and former directors that vest on the one-year anniversary of award issuance. Stock options that are assessed to be liability-classified are recorded as warrants and stock option liability on the accompanying condensed consolidated balance sheets. All stock options issued under the MSGM 2021 Stock Plan expire </w:t>
      </w:r>
      <w:bookmarkStart w:id="399" w:name="xdx_902_eus-gaap--SharebasedCompensation"/>
      <w:bookmarkEnd w:id="399"/>
      <w:r>
        <w:rPr>
          <w:rFonts w:ascii="Times New Roman;Times;Serif" w:hAnsi="Times New Roman;Times;Serif"/>
          <w:b w:val="false"/>
          <w:i w:val="false"/>
          <w:caps w:val="false"/>
          <w:smallCaps w:val="false"/>
          <w:sz w:val="20"/>
        </w:rPr>
        <w:t>10 years from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non-employee director compensation policy adopted by the Board of Directors at the time of the Company’s initial public offering, </w:t>
      </w:r>
      <w:bookmarkStart w:id="400" w:name="xdx_90F_ecustom--NonemployeeShareBasedCo"/>
      <w:bookmarkEnd w:id="400"/>
      <w:r>
        <w:rPr>
          <w:rFonts w:ascii="Times New Roman;Times;Serif" w:hAnsi="Times New Roman;Times;Serif"/>
          <w:b w:val="false"/>
          <w:i w:val="false"/>
          <w:caps w:val="false"/>
          <w:smallCaps w:val="false"/>
          <w:sz w:val="20"/>
        </w:rPr>
        <w:t>each non-employee director is entitled to receive an annual stock option award equal to the number of shares of Class A common stock obtained by dividing $75,000 by the closing trading price of the Class A common stock on the date of grant, vesting one year from the date of grant. All such option awards immediately vest upon a change of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the annual non-employee director stock option awards otherwise contemplated by the policy from December 1, 2023 to March 31, 2026, in each case because the number of shares available for issuance under the MSGM 2021 Stock Plan was insufficient to fund such grants and stockholder approval to increase the number of shares available for issuance under the MSGM 2021 Stock Plan had not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Board of Directors unanimously acknowledged and approved that the Company shall remain legally obligated to issue any prior equity compensation owed to each non-employee director under the policy and not granted, or to settle such obligations in cash or other consideration acceptable to the director, in each case upon a change of control of the Company (as defined in the MSGM 2021 Stock Plan) or if a director ceases to serve on the Board of Directors for any reason other than for cause (as defined in the MSGM 2021 Stock Plan). Because the obligations may be settled in cash, the Company has accounted for these obligations as liability-classified share-based compensation in accordance with ASC 718-30. The fair value of each award is remeasured at each reporting date through settlement using a Black-Scholes option-pricing model with assumptions as of the applicable reporting date, and the cumulative compensation cost recognized at each reporting date equals the proportion of the requisite service period rendered through that date multiplied by the remeasured fair value of the award. The cumulative liability is presented within warrants and stock option liability on the condensed consolidated balance sheets, and changes in the cumulative liability between reporting dates are recognized in general and administrative expense in the condensed consolidated statements of operations. As of March 31, 2026 and December 31, 2025, the cumulative liability for the non-employee director compensation obligations described above was $</w:t>
      </w:r>
      <w:bookmarkStart w:id="401" w:name="xdx_905_ecustom--NonemployeeCompensation"/>
      <w:bookmarkEnd w:id="401"/>
      <w:r>
        <w:rPr>
          <w:rFonts w:ascii="Times New Roman;Times;Serif" w:hAnsi="Times New Roman;Times;Serif"/>
          <w:b w:val="false"/>
          <w:i w:val="false"/>
          <w:caps w:val="false"/>
          <w:smallCaps w:val="false"/>
          <w:sz w:val="20"/>
        </w:rPr>
        <w:t>1,164,386 and $</w:t>
      </w:r>
      <w:bookmarkStart w:id="402" w:name="xdx_909_ecustom--NonemployeeCompensation"/>
      <w:bookmarkEnd w:id="402"/>
      <w:r>
        <w:rPr>
          <w:rFonts w:ascii="Times New Roman;Times;Serif" w:hAnsi="Times New Roman;Times;Serif"/>
          <w:b w:val="false"/>
          <w:i w:val="false"/>
          <w:caps w:val="false"/>
          <w:smallCaps w:val="false"/>
          <w:sz w:val="20"/>
        </w:rPr>
        <w:t>789,352,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Company’s stockholders approved an amendment to the MSGM 2021 Stock Plan to increase the number of shares of Class A common stock available for issuance under the plan from </w:t>
      </w:r>
      <w:bookmarkStart w:id="403" w:name="xdx_903_eus-gaap--CommonStockCapitalShar"/>
      <w:bookmarkEnd w:id="403"/>
      <w:r>
        <w:rPr>
          <w:rFonts w:ascii="Times New Roman;Times;Serif" w:hAnsi="Times New Roman;Times;Serif"/>
          <w:b w:val="false"/>
          <w:i w:val="false"/>
          <w:caps w:val="false"/>
          <w:smallCaps w:val="false"/>
          <w:sz w:val="20"/>
        </w:rPr>
        <w:t xml:space="preserve">100,000 to </w:t>
      </w:r>
      <w:bookmarkStart w:id="404" w:name="xdx_906_eus-gaap--CommonStockCapitalShar"/>
      <w:bookmarkEnd w:id="404"/>
      <w:r>
        <w:rPr>
          <w:rFonts w:ascii="Times New Roman;Times;Serif" w:hAnsi="Times New Roman;Times;Serif"/>
          <w:b w:val="false"/>
          <w:i w:val="false"/>
          <w:caps w:val="false"/>
          <w:smallCaps w:val="false"/>
          <w:sz w:val="20"/>
        </w:rPr>
        <w:t xml:space="preserve">600,000. See Note 12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Valuation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stock options and stock appreciation rights are estimated using the Black-Scholes option pricing model. The estimation of fair value for these awards is affected by subjective and complex variables, which are typically based on historical information. Judgment is required to determine if historical trends are indicators of future outcomes.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of the Black-Scholes option pricing model are the risk-free interest rate, expected volatility, expected term and expected dividends. The Company determined the risk-free interest rate using U.S. Treasury yields in effect at the time of the grant that matched the expected term of the options. Expected volatility is based on a combination of historical stock price volatility, as well as implied volatilities, of comparable publicly traded companies with operations similar to Motorsport Games over a 10-year period, consistent with the contractual term of the options. The Company calculated the expected term using the simplified method as prescribed by the SEC’s Staff Accounting Bulletin, topic 14 (“SAB Topic 14”). This decision was based on the lack of relevant historical data due to the Company’s limited historical experience. The dividend yield was zero, as the Company has never declared or paid dividends and has no plans to do so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recognized is based on awards ultimately expected to vest and therefore has been reduced for actual forfeitures occurring within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5" w:name="xdx_896_eus-gaap--ScheduleOfAssumptionsF"/>
      <w:bookmarkEnd w:id="405"/>
      <w:r>
        <w:rPr>
          <w:rFonts w:ascii="Times New Roman;Times;Serif" w:hAnsi="Times New Roman;Times;Serif"/>
          <w:b w:val="false"/>
          <w:i w:val="false"/>
          <w:caps w:val="false"/>
          <w:smallCaps w:val="false"/>
          <w:sz w:val="20"/>
        </w:rPr>
        <w:t>The following table presents the weighted-average assumptions, weighted average grant date fair value, and the range of expected price volatility for liability-classified stock options (which, as of March 31, 2026, comprise the non-employee director compensation obligations described above):</w:t>
      </w:r>
    </w:p>
    <w:p>
      <w:pPr>
        <w:pStyle w:val="TextBody"/>
        <w:bidi w:val="0"/>
        <w:spacing w:before="0" w:after="0"/>
        <w:ind w:left="0" w:right="0" w:firstLine="720"/>
        <w:jc w:val="both"/>
        <w:rPr>
          <w:caps w:val="false"/>
          <w:smallCaps w:val="false"/>
        </w:rPr>
      </w:pPr>
      <w:r>
        <w:rPr>
          <w:caps w:val="false"/>
          <w:smallCaps w:val="false"/>
        </w:rPr>
        <w:t> </w:t>
      </w:r>
      <w:bookmarkStart w:id="406" w:name="xdx_8BB_zZAl3jkG3P7"/>
      <w:bookmarkEnd w:id="406"/>
      <w:r>
        <w:rPr>
          <w:rFonts w:ascii="Times New Roman;Times;Serif" w:hAnsi="Times New Roman;Times;Serif"/>
          <w:b w:val="false"/>
          <w:i w:val="false"/>
          <w:caps w:val="false"/>
          <w:smallCaps w:val="false"/>
          <w:sz w:val="20"/>
        </w:rPr>
        <w:t>SCHEDULE OF FAIR VALUE ASSUMPTION</w:t>
      </w:r>
    </w:p>
    <w:tbl>
      <w:tblPr>
        <w:tblW w:w="5564" w:type="dxa"/>
        <w:jc w:val="left"/>
        <w:tblInd w:w="0" w:type="dxa"/>
        <w:tblLayout w:type="fixed"/>
        <w:tblCellMar>
          <w:top w:w="0" w:type="dxa"/>
          <w:left w:w="0" w:type="dxa"/>
          <w:bottom w:w="0" w:type="dxa"/>
          <w:right w:w="0" w:type="dxa"/>
        </w:tblCellMar>
      </w:tblPr>
      <w:tblGrid>
        <w:gridCol w:w="3950"/>
        <w:gridCol w:w="60"/>
        <w:gridCol w:w="151"/>
        <w:gridCol w:w="1203"/>
        <w:gridCol w:w="200"/>
      </w:tblGrid>
      <w:tr>
        <w:trPr/>
        <w:tc>
          <w:tcPr>
            <w:tcW w:w="3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7" w:name="xdx_902_eus-gaap--ShareBasedCompensation"/>
            <w:bookmarkEnd w:id="407"/>
            <w:r>
              <w:rPr>
                <w:rFonts w:ascii="Times New Roman;Times;Serif" w:hAnsi="Times New Roman;Times;Serif"/>
                <w:b w:val="false"/>
                <w:i w:val="false"/>
                <w:caps w:val="false"/>
                <w:smallCaps w:val="false"/>
                <w:sz w:val="20"/>
              </w:rPr>
              <w:t>3.92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8" w:name="xdx_90A_eus-gaap--ShareBasedCompensation"/>
            <w:bookmarkEnd w:id="408"/>
            <w:r>
              <w:rPr>
                <w:rFonts w:ascii="Times New Roman;Times;Serif" w:hAnsi="Times New Roman;Times;Serif"/>
                <w:b w:val="false"/>
                <w:i w:val="false"/>
                <w:caps w:val="false"/>
                <w:smallCaps w:val="false"/>
                <w:sz w:val="20"/>
              </w:rPr>
              <w:t xml:space="preserve">90 - </w:t>
            </w:r>
            <w:bookmarkStart w:id="409" w:name="xdx_906_eus-gaap--ShareBasedCompensation"/>
            <w:bookmarkEnd w:id="409"/>
            <w:r>
              <w:rPr>
                <w:rFonts w:ascii="Times New Roman;Times;Serif" w:hAnsi="Times New Roman;Times;Serif"/>
                <w:b w:val="false"/>
                <w:i w:val="false"/>
                <w:caps w:val="false"/>
                <w:smallCaps w:val="false"/>
                <w:sz w:val="20"/>
              </w:rPr>
              <w:t>160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0" w:name="xdx_909_eus-gaap--ShareBasedCompensation"/>
            <w:bookmarkEnd w:id="410"/>
            <w:r>
              <w:rPr>
                <w:rFonts w:ascii="Times New Roman;Times;Serif" w:hAnsi="Times New Roman;Times;Serif"/>
                <w:b w:val="false"/>
                <w:i w:val="false"/>
                <w:caps w:val="false"/>
                <w:smallCaps w:val="false"/>
                <w:sz w:val="20"/>
              </w:rPr>
              <w:t>114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1" w:name="xdx_90D_eus-gaap--SharebasedCompensation"/>
            <w:bookmarkEnd w:id="411"/>
            <w:r>
              <w:rPr>
                <w:rFonts w:ascii="Times New Roman;Times;Serif" w:hAnsi="Times New Roman;Times;Serif"/>
                <w:b w:val="false"/>
                <w:i w:val="false"/>
                <w:caps w:val="false"/>
                <w:smallCaps w:val="false"/>
                <w:sz w:val="20"/>
              </w:rPr>
              <w:t xml:space="preserve">4 - </w:t>
            </w:r>
            <w:bookmarkStart w:id="412" w:name="xdx_90A_eus-gaap--SharebasedCompensation"/>
            <w:bookmarkEnd w:id="412"/>
            <w:r>
              <w:rPr>
                <w:rFonts w:ascii="Times New Roman;Times;Serif" w:hAnsi="Times New Roman;Times;Serif"/>
                <w:b w:val="false"/>
                <w:i w:val="false"/>
                <w:caps w:val="false"/>
                <w:smallCaps w:val="false"/>
                <w:sz w:val="20"/>
              </w:rPr>
              <w:t>5.3 years</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grant date fair value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3" w:name="xdx_90D_eus-gaap--ShareBasedCompensation"/>
            <w:bookmarkEnd w:id="413"/>
            <w:r>
              <w:rPr>
                <w:rFonts w:ascii="Times New Roman;Times;Serif" w:hAnsi="Times New Roman;Times;Serif"/>
                <w:b w:val="false"/>
                <w:i w:val="false"/>
                <w:caps w:val="false"/>
                <w:smallCaps w:val="false"/>
                <w:sz w:val="20"/>
              </w:rPr>
              <w:t>3.58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following table presents the weighted-average assumptions, weighted average grant date fair value, and the range of expected price volatility for liability-classified stock options (</w:t>
      </w:r>
      <w:r>
        <w:rPr>
          <w:rFonts w:ascii="Times New Roman;Times;Serif" w:hAnsi="Times New Roman;Times;Serif"/>
          <w:b w:val="false"/>
          <w:i w:val="false"/>
          <w:caps w:val="false"/>
          <w:smallCaps w:val="false"/>
          <w:sz w:val="20"/>
        </w:rPr>
        <w:t>which, as of December 31, 2025, comprise the non-employee director compensation obligations described above)</w:t>
      </w:r>
      <w:r>
        <w:rPr>
          <w:rFonts w:ascii="Times New Roman;Times;Serif" w:hAnsi="Times New Roman;Times;Serif"/>
          <w:b w:val="false"/>
          <w:i w:val="false"/>
          <w:caps w:val="false"/>
          <w:smallCaps w:val="false"/>
          <w:sz w:val="20"/>
          <w:shd w:fill="FFFFFF" w:val="clear"/>
        </w:rPr>
        <w:t>:</w:t>
      </w:r>
    </w:p>
    <w:p>
      <w:pPr>
        <w:pStyle w:val="TextBody"/>
        <w:bidi w:val="0"/>
        <w:ind w:left="0" w:right="0" w:firstLine="720"/>
        <w:jc w:val="both"/>
        <w:rPr>
          <w:caps w:val="false"/>
          <w:smallCaps w:val="false"/>
        </w:rPr>
      </w:pPr>
      <w:r>
        <w:rPr>
          <w:caps w:val="false"/>
          <w:smallCaps w:val="false"/>
        </w:rPr>
        <w:t> </w:t>
      </w:r>
    </w:p>
    <w:tbl>
      <w:tblPr>
        <w:tblW w:w="6539" w:type="dxa"/>
        <w:jc w:val="left"/>
        <w:tblInd w:w="0" w:type="dxa"/>
        <w:tblLayout w:type="fixed"/>
        <w:tblCellMar>
          <w:top w:w="0" w:type="dxa"/>
          <w:left w:w="0" w:type="dxa"/>
          <w:bottom w:w="0" w:type="dxa"/>
          <w:right w:w="0" w:type="dxa"/>
        </w:tblCellMar>
      </w:tblPr>
      <w:tblGrid>
        <w:gridCol w:w="4610"/>
        <w:gridCol w:w="60"/>
        <w:gridCol w:w="178"/>
        <w:gridCol w:w="1461"/>
        <w:gridCol w:w="23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3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bookmarkStart w:id="414" w:name="xdx_905_eus-gaap--ShareBasedCompensation"/>
            <w:bookmarkEnd w:id="414"/>
            <w:r>
              <w:rPr/>
              <w:t>3.73</w:t>
            </w:r>
          </w:p>
        </w:tc>
        <w:tc>
          <w:tcPr>
            <w:tcW w:w="23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5" w:name="xdx_90B_eus-gaap--ShareBasedCompensation"/>
            <w:bookmarkEnd w:id="415"/>
            <w:r>
              <w:rPr>
                <w:rFonts w:ascii="Times New Roman;Times;Serif" w:hAnsi="Times New Roman;Times;Serif"/>
                <w:b w:val="false"/>
                <w:i w:val="false"/>
                <w:caps w:val="false"/>
                <w:smallCaps w:val="false"/>
                <w:sz w:val="20"/>
              </w:rPr>
              <w:t xml:space="preserve">90 - </w:t>
            </w:r>
            <w:bookmarkStart w:id="416" w:name="xdx_906_eus-gaap--ShareBasedCompensation"/>
            <w:bookmarkEnd w:id="416"/>
            <w:r>
              <w:rPr>
                <w:rFonts w:ascii="Times New Roman;Times;Serif" w:hAnsi="Times New Roman;Times;Serif"/>
                <w:b w:val="false"/>
                <w:i w:val="false"/>
                <w:caps w:val="false"/>
                <w:smallCaps w:val="false"/>
                <w:sz w:val="20"/>
              </w:rPr>
              <w:t>160</w:t>
            </w:r>
          </w:p>
        </w:tc>
        <w:tc>
          <w:tcPr>
            <w:tcW w:w="23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Weighted-average volatility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bookmarkStart w:id="417" w:name="xdx_901_eus-gaap--ShareBasedCompensation"/>
            <w:bookmarkEnd w:id="417"/>
            <w:r>
              <w:rPr/>
              <w:t>115</w:t>
            </w:r>
          </w:p>
        </w:tc>
        <w:tc>
          <w:tcPr>
            <w:tcW w:w="23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Expected term</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sz w:val="20"/>
              </w:rPr>
            </w:pPr>
            <w:bookmarkStart w:id="418" w:name="xdx_906_eus-gaap--SharebasedCompensation"/>
            <w:bookmarkEnd w:id="418"/>
            <w:r>
              <w:rPr>
                <w:rFonts w:ascii="Times New Roman;Times;Serif" w:hAnsi="Times New Roman;Times;Serif"/>
                <w:sz w:val="20"/>
              </w:rPr>
              <w:t xml:space="preserve">4 - </w:t>
            </w:r>
            <w:bookmarkStart w:id="419" w:name="xdx_903_eus-gaap--SharebasedCompensation"/>
            <w:bookmarkEnd w:id="419"/>
            <w:r>
              <w:rPr>
                <w:rFonts w:ascii="Times New Roman;Times;Serif" w:hAnsi="Times New Roman;Times;Serif"/>
                <w:sz w:val="20"/>
              </w:rPr>
              <w:t xml:space="preserve">5.48 years </w:t>
            </w:r>
          </w:p>
        </w:tc>
        <w:tc>
          <w:tcPr>
            <w:tcW w:w="23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c>
          <w:tcPr>
            <w:tcW w:w="23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Weighted-average grant date fair value per share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461" w:type="dxa"/>
            <w:tcBorders/>
            <w:shd w:fill="FFFFFF" w:val="clear"/>
            <w:vAlign w:val="center"/>
          </w:tcPr>
          <w:p>
            <w:pPr>
              <w:pStyle w:val="TableContents"/>
              <w:bidi w:val="0"/>
              <w:spacing w:before="0" w:after="283"/>
              <w:jc w:val="right"/>
              <w:rPr/>
            </w:pPr>
            <w:bookmarkStart w:id="420" w:name="xdx_901_eus-gaap--ShareBasedCompensation"/>
            <w:bookmarkEnd w:id="420"/>
            <w:r>
              <w:rPr/>
              <w:t>2.73</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21" w:name="xdx_8A9_zrVcpv52PwH3"/>
      <w:bookmarkEnd w:id="42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2" w:name="xdx_89A_eus-gaap--ScheduleOfFairValueAss"/>
      <w:bookmarkEnd w:id="422"/>
      <w:r>
        <w:rPr>
          <w:rFonts w:ascii="Times New Roman;Times;Serif" w:hAnsi="Times New Roman;Times;Serif"/>
          <w:b w:val="false"/>
          <w:i w:val="false"/>
          <w:caps w:val="false"/>
          <w:smallCaps w:val="false"/>
          <w:sz w:val="20"/>
        </w:rPr>
        <w:t>The following table presents the Company’s liabilities measured at fair value on a recurring basis as of March 31, 2026 and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3" w:name="xdx_8BE_ziBfOZSZFdWa"/>
      <w:bookmarkEnd w:id="423"/>
      <w:r>
        <w:rPr>
          <w:rFonts w:ascii="Times New Roman;Times;Serif" w:hAnsi="Times New Roman;Times;Serif"/>
          <w:b w:val="false"/>
          <w:i w:val="false"/>
          <w:caps w:val="false"/>
          <w:smallCaps w:val="false"/>
          <w:sz w:val="20"/>
        </w:rPr>
        <w:t>SCHEDULE OF FAIR VALUE, ASSETS AND LIABILITIES MEASURED ON RECURRING BASIS</w:t>
      </w:r>
    </w:p>
    <w:tbl>
      <w:tblPr>
        <w:tblW w:w="10205" w:type="dxa"/>
        <w:jc w:val="left"/>
        <w:tblInd w:w="0" w:type="dxa"/>
        <w:tblLayout w:type="fixed"/>
        <w:tblCellMar>
          <w:top w:w="0" w:type="dxa"/>
          <w:left w:w="0" w:type="dxa"/>
          <w:bottom w:w="0" w:type="dxa"/>
          <w:right w:w="0" w:type="dxa"/>
        </w:tblCellMar>
      </w:tblPr>
      <w:tblGrid>
        <w:gridCol w:w="1381"/>
        <w:gridCol w:w="60"/>
        <w:gridCol w:w="865"/>
        <w:gridCol w:w="1864"/>
        <w:gridCol w:w="60"/>
        <w:gridCol w:w="60"/>
        <w:gridCol w:w="368"/>
        <w:gridCol w:w="1737"/>
        <w:gridCol w:w="60"/>
        <w:gridCol w:w="60"/>
        <w:gridCol w:w="266"/>
        <w:gridCol w:w="1869"/>
        <w:gridCol w:w="60"/>
        <w:gridCol w:w="60"/>
        <w:gridCol w:w="169"/>
        <w:gridCol w:w="1186"/>
        <w:gridCol w:w="80"/>
      </w:tblGrid>
      <w:tr>
        <w:trPr/>
        <w:tc>
          <w:tcPr>
            <w:tcW w:w="1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4" w:name="xdx_4BB_us-gaap--FairValueByFairValueHie"/>
            <w:bookmarkEnd w:id="424"/>
          </w:p>
        </w:tc>
        <w:tc>
          <w:tcPr>
            <w:tcW w:w="27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Quoted prices in active markets for identical liabilities </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B0_us-gaap--FairValueByFairValueHie"/>
            <w:bookmarkEnd w:id="425"/>
          </w:p>
        </w:tc>
        <w:tc>
          <w:tcPr>
            <w:tcW w:w="2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Significant other observable inputs </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B2_us-gaap--FairValueByFairValueHie"/>
            <w:bookmarkEnd w:id="426"/>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Significant unobservable inputs </w:t>
              <w:b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Value</w:t>
            </w:r>
          </w:p>
        </w:tc>
        <w:tc>
          <w:tcPr>
            <w:tcW w:w="80" w:type="dxa"/>
            <w:tcBorders/>
            <w:vAlign w:val="center"/>
          </w:tcPr>
          <w:p>
            <w:pPr>
              <w:pStyle w:val="TableContents"/>
              <w:bidi w:val="0"/>
              <w:spacing w:before="0" w:after="283"/>
              <w:jc w:val="left"/>
              <w:rPr/>
            </w:pPr>
            <w:r>
              <w:rPr/>
              <w:t> </w:t>
            </w:r>
          </w:p>
        </w:tc>
      </w:tr>
      <w:tr>
        <w:trPr/>
        <w:tc>
          <w:tcPr>
            <w:tcW w:w="1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at reporting date using:</w:t>
            </w:r>
          </w:p>
        </w:tc>
        <w:tc>
          <w:tcPr>
            <w:tcW w:w="80" w:type="dxa"/>
            <w:tcBorders/>
            <w:vAlign w:val="center"/>
          </w:tcPr>
          <w:p>
            <w:pPr>
              <w:pStyle w:val="TableContents"/>
              <w:bidi w:val="0"/>
              <w:spacing w:before="0" w:after="283"/>
              <w:jc w:val="left"/>
              <w:rPr/>
            </w:pPr>
            <w:r>
              <w:rPr/>
              <w:t> </w:t>
            </w:r>
          </w:p>
        </w:tc>
      </w:tr>
      <w:tr>
        <w:trPr/>
        <w:tc>
          <w:tcPr>
            <w:tcW w:w="1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Quoted prices in active markets for identical liabilities </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Significant other observable inputs </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Significant unobservable inputs </w:t>
              <w:b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Value</w:t>
            </w:r>
          </w:p>
        </w:tc>
        <w:tc>
          <w:tcPr>
            <w:tcW w:w="80" w:type="dxa"/>
            <w:tcBorders/>
            <w:vAlign w:val="center"/>
          </w:tcPr>
          <w:p>
            <w:pPr>
              <w:pStyle w:val="TableContents"/>
              <w:bidi w:val="0"/>
              <w:spacing w:before="0" w:after="283"/>
              <w:ind w:left="0" w:right="0" w:hanging="0"/>
              <w:jc w:val="left"/>
              <w:rPr/>
            </w:pPr>
            <w:r>
              <w:rPr/>
              <w:t> </w:t>
            </w:r>
          </w:p>
        </w:tc>
      </w:tr>
      <w:tr>
        <w:trPr/>
        <w:tc>
          <w:tcPr>
            <w:tcW w:w="1381" w:type="dxa"/>
            <w:tcBorders/>
            <w:shd w:fill="CCEEFF" w:val="clear"/>
            <w:vAlign w:val="center"/>
          </w:tcPr>
          <w:p>
            <w:pPr>
              <w:pStyle w:val="TableContents"/>
              <w:bidi w:val="0"/>
              <w:spacing w:before="0" w:after="283"/>
              <w:jc w:val="left"/>
              <w:rPr/>
            </w:pPr>
            <w:r>
              <w:rPr/>
              <w:t>As of March 31, 2026:</w:t>
            </w:r>
          </w:p>
        </w:tc>
        <w:tc>
          <w:tcPr>
            <w:tcW w:w="60"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8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0"/>
              <w:jc w:val="left"/>
              <w:rPr/>
            </w:pPr>
            <w:r>
              <w:rPr/>
              <w:t> </w:t>
            </w:r>
            <w:bookmarkStart w:id="427" w:name="xdx_431_c20260331_ecustom--StockOptionLi"/>
            <w:bookmarkEnd w:id="427"/>
          </w:p>
        </w:tc>
      </w:tr>
      <w:tr>
        <w:trPr/>
        <w:tc>
          <w:tcPr>
            <w:tcW w:w="1381" w:type="dxa"/>
            <w:tcBorders/>
            <w:shd w:fill="FFFFFF" w:val="clear"/>
            <w:vAlign w:val="center"/>
          </w:tcPr>
          <w:p>
            <w:pPr>
              <w:pStyle w:val="TableContents"/>
              <w:bidi w:val="0"/>
              <w:spacing w:before="0" w:after="283"/>
              <w:jc w:val="left"/>
              <w:rPr/>
            </w:pPr>
            <w:r>
              <w:rPr/>
              <w:t>Stock option liability</w:t>
            </w:r>
          </w:p>
        </w:tc>
        <w:tc>
          <w:tcPr>
            <w:tcW w:w="6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w:t>
            </w:r>
          </w:p>
        </w:tc>
        <w:tc>
          <w:tcPr>
            <w:tcW w:w="18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w:t>
            </w:r>
          </w:p>
        </w:tc>
        <w:tc>
          <w:tcPr>
            <w:tcW w:w="17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869" w:type="dxa"/>
            <w:tcBorders/>
            <w:shd w:fill="FFFFFF" w:val="clear"/>
            <w:vAlign w:val="center"/>
          </w:tcPr>
          <w:p>
            <w:pPr>
              <w:pStyle w:val="TableContents"/>
              <w:bidi w:val="0"/>
              <w:spacing w:before="0" w:after="283"/>
              <w:jc w:val="right"/>
              <w:rPr/>
            </w:pPr>
            <w:r>
              <w:rPr/>
              <w:t>1,164,386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bookmarkStart w:id="428" w:name="xdx_980_eus-gaap--DerivativeLiabilities_"/>
            <w:bookmarkEnd w:id="428"/>
          </w:p>
        </w:tc>
        <w:tc>
          <w:tcPr>
            <w:tcW w:w="1186" w:type="dxa"/>
            <w:tcBorders/>
            <w:shd w:fill="FFFFFF" w:val="clear"/>
            <w:vAlign w:val="center"/>
          </w:tcPr>
          <w:p>
            <w:pPr>
              <w:pStyle w:val="TableContents"/>
              <w:bidi w:val="0"/>
              <w:spacing w:before="0" w:after="283"/>
              <w:jc w:val="right"/>
              <w:rPr/>
            </w:pPr>
            <w:r>
              <w:rPr/>
              <w:t>1,164,386</w:t>
            </w:r>
          </w:p>
        </w:tc>
        <w:tc>
          <w:tcPr>
            <w:tcW w:w="80" w:type="dxa"/>
            <w:tcBorders/>
            <w:shd w:fill="FFFFFF" w:val="clear"/>
            <w:vAlign w:val="center"/>
          </w:tcPr>
          <w:p>
            <w:pPr>
              <w:pStyle w:val="TableContents"/>
              <w:bidi w:val="0"/>
              <w:spacing w:before="0" w:after="283"/>
              <w:jc w:val="left"/>
              <w:rPr/>
            </w:pPr>
            <w:r>
              <w:rPr/>
              <w:t> </w:t>
            </w:r>
            <w:bookmarkStart w:id="429" w:name="xdx_43A_c20260331_eus-gaap--DerivativeLi"/>
            <w:bookmarkEnd w:id="429"/>
          </w:p>
        </w:tc>
      </w:tr>
      <w:tr>
        <w:trPr/>
        <w:tc>
          <w:tcPr>
            <w:tcW w:w="13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liability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0" w:name="xdx_98F_ecustom--StockOptionLiabilities_"/>
            <w:bookmarkEnd w:id="430"/>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1" w:name="xdx_43B_c20251231_ecustom--StockOptionLi"/>
            <w:bookmarkEnd w:id="431"/>
          </w:p>
        </w:tc>
      </w:tr>
      <w:tr>
        <w:trPr/>
        <w:tc>
          <w:tcPr>
            <w:tcW w:w="13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liability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2" w:name="xdx_98E_eus-gaap--DerivativeLiabilities_"/>
            <w:bookmarkEnd w:id="432"/>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3" w:name="xdx_43C_c20251231_eus-gaap--DerivativeLi"/>
            <w:bookmarkEnd w:id="433"/>
          </w:p>
        </w:tc>
      </w:tr>
      <w:tr>
        <w:trPr/>
        <w:tc>
          <w:tcPr>
            <w:tcW w:w="13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liability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4" w:name="xdx_98A_ecustom--StockOptionLiabilities_"/>
            <w:bookmarkEnd w:id="434"/>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35" w:name="xdx_8AC_zdDufcsXcwi9"/>
      <w:bookmarkEnd w:id="4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6" w:name="xdx_894_eus-gaap--DisclosureOfShareBased"/>
      <w:bookmarkEnd w:id="436"/>
      <w:r>
        <w:rPr>
          <w:rFonts w:ascii="Times New Roman;Times;Serif" w:hAnsi="Times New Roman;Times;Serif"/>
          <w:b w:val="false"/>
          <w:i w:val="false"/>
          <w:caps w:val="false"/>
          <w:smallCaps w:val="false"/>
          <w:sz w:val="20"/>
        </w:rPr>
        <w:t>The following table summarizes stock-based compensation expense resulting from awards included in the Company’s condensed consolidated statements of operations:</w:t>
      </w:r>
    </w:p>
    <w:p>
      <w:pPr>
        <w:pStyle w:val="TextBody"/>
        <w:bidi w:val="0"/>
        <w:spacing w:before="0" w:after="0"/>
        <w:ind w:left="0" w:right="0" w:hanging="0"/>
        <w:jc w:val="both"/>
        <w:rPr>
          <w:caps w:val="false"/>
          <w:smallCaps w:val="false"/>
        </w:rPr>
      </w:pPr>
      <w:r>
        <w:rPr>
          <w:caps w:val="false"/>
          <w:smallCaps w:val="false"/>
        </w:rPr>
        <w:t> </w:t>
      </w:r>
      <w:bookmarkStart w:id="437" w:name="xdx_8B4_zQBDpsMCGCv5"/>
      <w:bookmarkEnd w:id="437"/>
      <w:r>
        <w:rPr>
          <w:rFonts w:ascii="Times New Roman;Times;Serif" w:hAnsi="Times New Roman;Times;Serif"/>
          <w:b w:val="false"/>
          <w:i w:val="false"/>
          <w:caps w:val="false"/>
          <w:smallCaps w:val="false"/>
          <w:sz w:val="20"/>
        </w:rPr>
        <w:t>SCHEDULE OF STOCK BASED COMPENSATION EXPENSE</w:t>
      </w:r>
    </w:p>
    <w:tbl>
      <w:tblPr>
        <w:tblW w:w="6532" w:type="dxa"/>
        <w:jc w:val="left"/>
        <w:tblInd w:w="0" w:type="dxa"/>
        <w:tblLayout w:type="fixed"/>
        <w:tblCellMar>
          <w:top w:w="0" w:type="dxa"/>
          <w:left w:w="0" w:type="dxa"/>
          <w:bottom w:w="0" w:type="dxa"/>
          <w:right w:w="0" w:type="dxa"/>
        </w:tblCellMar>
      </w:tblPr>
      <w:tblGrid>
        <w:gridCol w:w="3380"/>
        <w:gridCol w:w="60"/>
        <w:gridCol w:w="271"/>
        <w:gridCol w:w="1548"/>
        <w:gridCol w:w="116"/>
        <w:gridCol w:w="116"/>
        <w:gridCol w:w="574"/>
        <w:gridCol w:w="392"/>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8" w:name="xdx_494_20260101__20260331_zG7HHxKm8CN9"/>
            <w:bookmarkEnd w:id="438"/>
          </w:p>
        </w:tc>
        <w:tc>
          <w:tcPr>
            <w:tcW w:w="18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439" w:name="xdx_49F_20250101__20250331_ztJ1Gsu64R2k"/>
            <w:bookmarkEnd w:id="439"/>
          </w:p>
        </w:tc>
        <w:tc>
          <w:tcPr>
            <w:tcW w:w="9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40" w:name="xdx_408_eus-gaap--EmployeeBenefitsAndSha"/>
            <w:bookmarkEnd w:id="440"/>
          </w:p>
        </w:tc>
      </w:tr>
      <w:tr>
        <w:trPr/>
        <w:tc>
          <w:tcPr>
            <w:tcW w:w="338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548" w:type="dxa"/>
            <w:tcBorders/>
            <w:shd w:fill="CCEEFF" w:val="clear"/>
            <w:vAlign w:val="center"/>
          </w:tcPr>
          <w:p>
            <w:pPr>
              <w:pStyle w:val="TableContents"/>
              <w:bidi w:val="0"/>
              <w:spacing w:before="0" w:after="283"/>
              <w:jc w:val="right"/>
              <w:rPr/>
            </w:pPr>
            <w:r>
              <w:rPr/>
              <w:t>375,031</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w:t>
            </w:r>
          </w:p>
        </w:tc>
        <w:tc>
          <w:tcPr>
            <w:tcW w:w="3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1" w:name="xdx_409_eus-gaap--EmployeeBenefitsAndSha"/>
            <w:bookmarkEnd w:id="441"/>
          </w:p>
        </w:tc>
      </w:tr>
      <w:tr>
        <w:trPr/>
        <w:tc>
          <w:tcPr>
            <w:tcW w:w="3380"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2" w:name="xdx_40C_eus-gaap--EmployeeBenefitsAndSha"/>
            <w:bookmarkEnd w:id="442"/>
          </w:p>
        </w:tc>
      </w:tr>
      <w:tr>
        <w:trPr/>
        <w:tc>
          <w:tcPr>
            <w:tcW w:w="3380" w:type="dxa"/>
            <w:tcBorders/>
            <w:shd w:fill="CCEEFF" w:val="clear"/>
            <w:vAlign w:val="center"/>
          </w:tcPr>
          <w:p>
            <w:pPr>
              <w:pStyle w:val="TableContents"/>
              <w:bidi w:val="0"/>
              <w:spacing w:before="0" w:after="283"/>
              <w:jc w:val="both"/>
              <w:rPr/>
            </w:pPr>
            <w:r>
              <w:rPr/>
              <w:t>Development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3" w:name="xdx_406_eus-gaap--EmployeeBenefitsAndSha"/>
            <w:bookmarkEnd w:id="443"/>
          </w:p>
        </w:tc>
      </w:tr>
      <w:tr>
        <w:trPr/>
        <w:tc>
          <w:tcPr>
            <w:tcW w:w="3380" w:type="dxa"/>
            <w:tcBorders/>
            <w:shd w:fill="FFFFFF" w:val="clear"/>
            <w:vAlign w:val="center"/>
          </w:tcPr>
          <w:p>
            <w:pPr>
              <w:pStyle w:val="TableContents"/>
              <w:bidi w:val="0"/>
              <w:spacing w:before="0" w:after="283"/>
              <w:jc w:val="both"/>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8" w:type="dxa"/>
            <w:tcBorders>
              <w:bottom w:val="double" w:sz="6" w:space="0" w:color="000000"/>
            </w:tcBorders>
            <w:shd w:fill="FFFFFF" w:val="clear"/>
            <w:tcMar>
              <w:bottom w:w="28" w:type="dxa"/>
            </w:tcMar>
            <w:vAlign w:val="center"/>
          </w:tcPr>
          <w:p>
            <w:pPr>
              <w:pStyle w:val="TableContents"/>
              <w:bidi w:val="0"/>
              <w:spacing w:before="0" w:after="283"/>
              <w:jc w:val="right"/>
              <w:rPr/>
            </w:pPr>
            <w:r>
              <w:rPr/>
              <w:t>375,031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4" w:name="xdx_8A1_zwCHEw1lFc02"/>
      <w:bookmarkEnd w:id="4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the three months ended March 31, 2026 of $</w:t>
      </w:r>
      <w:bookmarkStart w:id="445" w:name="xdx_904_eus-gaap--EmployeeBenefitsAndSha"/>
      <w:bookmarkEnd w:id="445"/>
      <w:r>
        <w:rPr>
          <w:rFonts w:ascii="Times New Roman;Times;Serif" w:hAnsi="Times New Roman;Times;Serif"/>
          <w:b w:val="false"/>
          <w:i w:val="false"/>
          <w:caps w:val="false"/>
          <w:smallCaps w:val="false"/>
          <w:sz w:val="20"/>
        </w:rPr>
        <w:t>375,031 represents the change in the cumulative liability for the non-employee director compensation obligations described above between December 31, 2025 ($</w:t>
      </w:r>
      <w:bookmarkStart w:id="446" w:name="xdx_90F_ecustom--NonemployeeCompensation"/>
      <w:bookmarkEnd w:id="446"/>
      <w:r>
        <w:rPr>
          <w:rFonts w:ascii="Times New Roman;Times;Serif" w:hAnsi="Times New Roman;Times;Serif"/>
          <w:b w:val="false"/>
          <w:i w:val="false"/>
          <w:caps w:val="false"/>
          <w:smallCaps w:val="false"/>
          <w:sz w:val="20"/>
        </w:rPr>
        <w:t>789,352) and March 31, 2026 ($</w:t>
      </w:r>
      <w:bookmarkStart w:id="447" w:name="xdx_90B_ecustom--NonemployeeCompensation"/>
      <w:bookmarkEnd w:id="447"/>
      <w:r>
        <w:rPr>
          <w:rFonts w:ascii="Times New Roman;Times;Serif" w:hAnsi="Times New Roman;Times;Serif"/>
          <w:b w:val="false"/>
          <w:i w:val="false"/>
          <w:caps w:val="false"/>
          <w:smallCaps w:val="false"/>
          <w:sz w:val="20"/>
        </w:rPr>
        <w:t>1,164,386). The change reflects (i) additional service rendered during the period under the requisite service periods of the underlying awards and (ii) the effect of remeasuring the fair value of the awards at March 31, 2026 using updated Black-Scholes assumptions as of that date.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total unrecognized share-based compensation expense related to the non-employee director compensation obligations described above was $</w:t>
      </w:r>
      <w:bookmarkStart w:id="448" w:name="xdx_903_ecustom--UnrecognizedNonemployee"/>
      <w:bookmarkEnd w:id="448"/>
      <w:r>
        <w:rPr>
          <w:rFonts w:ascii="Times New Roman;Times;Serif" w:hAnsi="Times New Roman;Times;Serif"/>
          <w:b w:val="false"/>
          <w:i w:val="false"/>
          <w:caps w:val="false"/>
          <w:smallCaps w:val="false"/>
          <w:sz w:val="20"/>
        </w:rPr>
        <w:t xml:space="preserve">174,703, which is expected to be recognized over a weighted-average period of approximately </w:t>
      </w:r>
      <w:bookmarkStart w:id="449" w:name="xdx_90A_eus-gaap--SharebasedCompensation"/>
      <w:bookmarkEnd w:id="449"/>
      <w:r>
        <w:rPr>
          <w:rFonts w:ascii="Times New Roman;Times;Serif" w:hAnsi="Times New Roman;Times;Serif"/>
          <w:b w:val="false"/>
          <w:i w:val="false"/>
          <w:caps w:val="false"/>
          <w:smallCaps w:val="false"/>
          <w:sz w:val="20"/>
        </w:rPr>
        <w:t xml:space="preserve">0.7 years. There was </w:t>
      </w:r>
      <w:bookmarkStart w:id="450" w:name="xdx_902_ecustom--UnrecognizedNonemployee"/>
      <w:bookmarkEnd w:id="450"/>
      <w:r>
        <w:rPr>
          <w:rFonts w:ascii="Times New Roman;Times;Serif" w:hAnsi="Times New Roman;Times;Serif"/>
          <w:b w:val="false"/>
          <w:i w:val="false"/>
          <w:caps w:val="false"/>
          <w:smallCaps w:val="false"/>
          <w:sz w:val="20"/>
        </w:rPr>
        <w:t>no unrecognized share-based compensation expense related to other awards outstanding under the MSGM 2021 Stock Plan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B common stock have no economic rights under the Company’s Certificate of Incorporation and are excluded from the calculation of basic and diluted net income per share. Basic net income per Class A common share is computed by dividing net income attributable to Motorsport Games Inc. by the weighted average number of shares of Class A common stock outstanding during each period. Diluted net income per Class A common share includes the effect, if any, from the potential exercise or conversion of securities, such as stock options and warrants, which would result in the issuance of incremental shares of Class A common stock. The Company analyzes the potential dilutive impact of options and warrants under the treasury stock method.</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1" w:name="xdx_896_eus-gaap--ScheduleOfEarningsPerS"/>
      <w:bookmarkEnd w:id="451"/>
      <w:r>
        <w:rPr>
          <w:rFonts w:ascii="Times New Roman;Times;Serif" w:hAnsi="Times New Roman;Times;Serif"/>
          <w:b w:val="false"/>
          <w:i w:val="false"/>
          <w:caps w:val="false"/>
          <w:smallCaps w:val="false"/>
          <w:sz w:val="20"/>
        </w:rPr>
        <w:t>For the three months ended March 31, 2026 and 2025, the Company calculated basic and diluted net income per Class A common share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2" w:name="xdx_8BB_zE7zSSxvRtAf"/>
      <w:bookmarkEnd w:id="452"/>
      <w:r>
        <w:rPr>
          <w:rFonts w:ascii="Times New Roman;Times;Serif" w:hAnsi="Times New Roman;Times;Serif"/>
          <w:b w:val="false"/>
          <w:i w:val="false"/>
          <w:caps w:val="false"/>
          <w:smallCaps w:val="false"/>
          <w:sz w:val="20"/>
        </w:rPr>
        <w:t>SCHEDULE OF CALCULATED BASIC AND DILUTED NET INCOME PER COMMON SHARE</w:t>
      </w:r>
    </w:p>
    <w:tbl>
      <w:tblPr>
        <w:tblW w:w="10205" w:type="dxa"/>
        <w:jc w:val="left"/>
        <w:tblInd w:w="0" w:type="dxa"/>
        <w:tblLayout w:type="fixed"/>
        <w:tblCellMar>
          <w:top w:w="0" w:type="dxa"/>
          <w:left w:w="0" w:type="dxa"/>
          <w:bottom w:w="0" w:type="dxa"/>
          <w:right w:w="0" w:type="dxa"/>
        </w:tblCellMar>
      </w:tblPr>
      <w:tblGrid>
        <w:gridCol w:w="6031"/>
        <w:gridCol w:w="60"/>
        <w:gridCol w:w="239"/>
        <w:gridCol w:w="1676"/>
        <w:gridCol w:w="102"/>
        <w:gridCol w:w="102"/>
        <w:gridCol w:w="239"/>
        <w:gridCol w:w="1676"/>
        <w:gridCol w:w="80"/>
      </w:tblGrid>
      <w:tr>
        <w:trPr/>
        <w:tc>
          <w:tcPr>
            <w:tcW w:w="6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1_20260101__20260331_zRNLDn4iiXof"/>
            <w:bookmarkEnd w:id="453"/>
          </w:p>
        </w:tc>
        <w:tc>
          <w:tcPr>
            <w:tcW w:w="1915" w:type="dxa"/>
            <w:gridSpan w:val="2"/>
            <w:tcBorders/>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454" w:name="xdx_49D_20250101__20250331_zd8FMqwhOo61"/>
            <w:bookmarkEnd w:id="454"/>
          </w:p>
        </w:tc>
        <w:tc>
          <w:tcPr>
            <w:tcW w:w="1915" w:type="dxa"/>
            <w:gridSpan w:val="2"/>
            <w:tcBorders/>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r>
      <w:tr>
        <w:trPr/>
        <w:tc>
          <w:tcPr>
            <w:tcW w:w="6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80" w:type="dxa"/>
            <w:tcBorders/>
            <w:vAlign w:val="center"/>
          </w:tcPr>
          <w:p>
            <w:pPr>
              <w:pStyle w:val="TableContents"/>
              <w:bidi w:val="0"/>
              <w:spacing w:before="0" w:after="283"/>
              <w:jc w:val="left"/>
              <w:rPr/>
            </w:pPr>
            <w:r>
              <w:rPr/>
              <w:t> </w:t>
            </w:r>
          </w:p>
        </w:tc>
      </w:tr>
      <w:tr>
        <w:trPr/>
        <w:tc>
          <w:tcPr>
            <w:tcW w:w="6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5" w:type="dxa"/>
            <w:gridSpan w:val="2"/>
            <w:tcBorders/>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15" w:type="dxa"/>
            <w:gridSpan w:val="2"/>
            <w:tcBorders/>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r>
      <w:tr>
        <w:trPr/>
        <w:tc>
          <w:tcPr>
            <w:tcW w:w="6031" w:type="dxa"/>
            <w:tcBorders/>
            <w:shd w:fill="CCEEFF" w:val="clear"/>
            <w:vAlign w:val="center"/>
          </w:tcPr>
          <w:p>
            <w:pPr>
              <w:pStyle w:val="TableContents"/>
              <w:bidi w:val="0"/>
              <w:spacing w:before="0" w:after="283"/>
              <w:jc w:val="left"/>
              <w:rPr>
                <w:i/>
              </w:rPr>
            </w:pPr>
            <w:r>
              <w:rPr>
                <w:i/>
              </w:rPr>
              <w:t>Numerator: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0"/>
              <w:jc w:val="left"/>
              <w:rPr/>
            </w:pPr>
            <w:r>
              <w:rPr/>
              <w:t> </w:t>
            </w:r>
            <w:bookmarkStart w:id="455" w:name="xdx_401_eus-gaap--NetIncomeLoss_pp0p0_zP"/>
            <w:bookmarkEnd w:id="455"/>
          </w:p>
        </w:tc>
      </w:tr>
      <w:tr>
        <w:trPr/>
        <w:tc>
          <w:tcPr>
            <w:tcW w:w="6031" w:type="dxa"/>
            <w:tcBorders/>
            <w:shd w:fill="FFFFFF" w:val="clear"/>
            <w:vAlign w:val="center"/>
          </w:tcPr>
          <w:p>
            <w:pPr>
              <w:pStyle w:val="TableContents"/>
              <w:bidi w:val="0"/>
              <w:spacing w:before="0" w:after="283"/>
              <w:jc w:val="left"/>
              <w:rPr/>
            </w:pPr>
            <w:r>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676" w:type="dxa"/>
            <w:tcBorders/>
            <w:shd w:fill="FFFFFF" w:val="clear"/>
            <w:vAlign w:val="center"/>
          </w:tcPr>
          <w:p>
            <w:pPr>
              <w:pStyle w:val="TableContents"/>
              <w:bidi w:val="0"/>
              <w:spacing w:before="0" w:after="283"/>
              <w:jc w:val="right"/>
              <w:rPr/>
            </w:pPr>
            <w:r>
              <w:rPr/>
              <w:t>315,827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676" w:type="dxa"/>
            <w:tcBorders/>
            <w:shd w:fill="FFFFFF" w:val="clear"/>
            <w:vAlign w:val="center"/>
          </w:tcPr>
          <w:p>
            <w:pPr>
              <w:pStyle w:val="TableContents"/>
              <w:bidi w:val="0"/>
              <w:spacing w:before="0" w:after="283"/>
              <w:jc w:val="right"/>
              <w:rPr/>
            </w:pPr>
            <w:r>
              <w:rPr/>
              <w:t>1,041,058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031" w:type="dxa"/>
            <w:tcBorders/>
            <w:shd w:fill="FFFFFF" w:val="clear"/>
            <w:vAlign w:val="center"/>
          </w:tcPr>
          <w:p>
            <w:pPr>
              <w:pStyle w:val="TableContents"/>
              <w:bidi w:val="0"/>
              <w:spacing w:before="0" w:after="283"/>
              <w:jc w:val="left"/>
              <w:rPr>
                <w:i/>
              </w:rPr>
            </w:pPr>
            <w:r>
              <w:rPr>
                <w:i/>
              </w:rPr>
              <w:t>Denominator:</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bookmarkStart w:id="456" w:name="xdx_40A_eus-gaap--WeightedAverageNumberO"/>
            <w:bookmarkEnd w:id="456"/>
          </w:p>
        </w:tc>
      </w:tr>
      <w:tr>
        <w:trPr/>
        <w:tc>
          <w:tcPr>
            <w:tcW w:w="6031" w:type="dxa"/>
            <w:tcBorders/>
            <w:shd w:fill="CCEEFF" w:val="clear"/>
            <w:vAlign w:val="center"/>
          </w:tcPr>
          <w:p>
            <w:pPr>
              <w:pStyle w:val="TableContents"/>
              <w:bidi w:val="0"/>
              <w:spacing w:before="0" w:after="283"/>
              <w:jc w:val="left"/>
              <w:rPr/>
            </w:pPr>
            <w:r>
              <w:rPr/>
              <w:t xml:space="preserve">Weighted average Class A common shares outstanding – basic </w:t>
            </w:r>
            <w:bookmarkStart w:id="457" w:name="xdx_F43_zrL3vQo3nlyl"/>
            <w:bookmarkEnd w:id="457"/>
            <w:r>
              <w:rPr/>
              <w:t>(1)</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5,456,286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3,183,558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031" w:type="dxa"/>
            <w:tcBorders/>
            <w:shd w:fill="CCEEFF" w:val="clear"/>
            <w:vAlign w:val="center"/>
          </w:tcPr>
          <w:p>
            <w:pPr>
              <w:pStyle w:val="TableContents"/>
              <w:bidi w:val="0"/>
              <w:spacing w:before="0" w:after="283"/>
              <w:jc w:val="left"/>
              <w:rPr>
                <w:i/>
              </w:rPr>
            </w:pPr>
            <w:r>
              <w:rPr>
                <w:i/>
              </w:rPr>
              <w:t>Effects of dilutive securities: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0"/>
              <w:jc w:val="left"/>
              <w:rPr/>
            </w:pPr>
            <w:r>
              <w:rPr/>
              <w:t> </w:t>
            </w:r>
            <w:bookmarkStart w:id="458" w:name="xdx_40A_ecustom--AssumedExerciseOfStockO"/>
            <w:bookmarkEnd w:id="458"/>
          </w:p>
        </w:tc>
      </w:tr>
      <w:tr>
        <w:trPr/>
        <w:tc>
          <w:tcPr>
            <w:tcW w:w="6031" w:type="dxa"/>
            <w:tcBorders/>
            <w:shd w:fill="FFFFFF" w:val="clear"/>
            <w:vAlign w:val="center"/>
          </w:tcPr>
          <w:p>
            <w:pPr>
              <w:pStyle w:val="TableContents"/>
              <w:bidi w:val="0"/>
              <w:spacing w:before="0" w:after="283"/>
              <w:jc w:val="left"/>
              <w:rPr/>
            </w:pPr>
            <w:r>
              <w:rPr/>
              <w:t>Assumed exercise of stock options, treasury stock method</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FFFFFF" w:val="clear"/>
            <w:tcMar>
              <w:bottom w:w="28" w:type="dxa"/>
            </w:tcMar>
            <w:vAlign w:val="center"/>
          </w:tcPr>
          <w:p>
            <w:pPr>
              <w:pStyle w:val="TableContents"/>
              <w:bidi w:val="0"/>
              <w:spacing w:before="0" w:after="283"/>
              <w:jc w:val="right"/>
              <w:rPr/>
            </w:pPr>
            <w:r>
              <w:rPr/>
              <w:t>26,172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bookmarkStart w:id="459" w:name="xdx_400_eus-gaap--WeightedAverageNumberD"/>
            <w:bookmarkEnd w:id="459"/>
          </w:p>
        </w:tc>
      </w:tr>
      <w:tr>
        <w:trPr/>
        <w:tc>
          <w:tcPr>
            <w:tcW w:w="6031" w:type="dxa"/>
            <w:tcBorders/>
            <w:shd w:fill="CCEEFF" w:val="clear"/>
            <w:vAlign w:val="center"/>
          </w:tcPr>
          <w:p>
            <w:pPr>
              <w:pStyle w:val="TableContents"/>
              <w:bidi w:val="0"/>
              <w:spacing w:before="0" w:after="283"/>
              <w:jc w:val="left"/>
              <w:rPr/>
            </w:pPr>
            <w:r>
              <w:rPr/>
              <w:t>Weighted average dilutive potential common shares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CCEEFF" w:val="clear"/>
            <w:tcMar>
              <w:bottom w:w="28" w:type="dxa"/>
            </w:tcMar>
            <w:vAlign w:val="center"/>
          </w:tcPr>
          <w:p>
            <w:pPr>
              <w:pStyle w:val="TableContents"/>
              <w:bidi w:val="0"/>
              <w:spacing w:before="0" w:after="283"/>
              <w:jc w:val="right"/>
              <w:rPr/>
            </w:pPr>
            <w:r>
              <w:rPr/>
              <w:t>26,172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bookmarkStart w:id="460" w:name="xdx_40C_eus-gaap--WeightedAverageNumberO"/>
            <w:bookmarkEnd w:id="460"/>
          </w:p>
        </w:tc>
      </w:tr>
      <w:tr>
        <w:trPr/>
        <w:tc>
          <w:tcPr>
            <w:tcW w:w="6031" w:type="dxa"/>
            <w:tcBorders/>
            <w:shd w:fill="CCEEFF" w:val="clear"/>
            <w:vAlign w:val="center"/>
          </w:tcPr>
          <w:p>
            <w:pPr>
              <w:pStyle w:val="TableContents"/>
              <w:bidi w:val="0"/>
              <w:spacing w:before="0" w:after="283"/>
              <w:jc w:val="left"/>
              <w:rPr/>
            </w:pPr>
            <w:r>
              <w:rPr/>
              <w:t>Weighted average Class A common shares outstanding - diluted</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5,482,458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3,183,558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bookmarkStart w:id="461" w:name="xdx_407_eus-gaap--EarningsPerShareBasic_"/>
            <w:bookmarkEnd w:id="461"/>
          </w:p>
        </w:tc>
      </w:tr>
      <w:tr>
        <w:trPr/>
        <w:tc>
          <w:tcPr>
            <w:tcW w:w="6031" w:type="dxa"/>
            <w:tcBorders/>
            <w:shd w:fill="CCEEFF" w:val="clear"/>
            <w:vAlign w:val="center"/>
          </w:tcPr>
          <w:p>
            <w:pPr>
              <w:pStyle w:val="TableContents"/>
              <w:bidi w:val="0"/>
              <w:spacing w:before="0" w:after="283"/>
              <w:jc w:val="left"/>
              <w:rPr/>
            </w:pPr>
            <w:r>
              <w:rPr/>
              <w:t>Net income per Class A common share - basic</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pPr>
            <w:r>
              <w:rPr/>
              <w:t>0.06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pPr>
            <w:r>
              <w:rPr/>
              <w:t>0.33</w:t>
            </w:r>
          </w:p>
        </w:tc>
        <w:tc>
          <w:tcPr>
            <w:tcW w:w="80" w:type="dxa"/>
            <w:tcBorders/>
            <w:shd w:fill="CCEEFF" w:val="clear"/>
            <w:vAlign w:val="center"/>
          </w:tcPr>
          <w:p>
            <w:pPr>
              <w:pStyle w:val="TableContents"/>
              <w:bidi w:val="0"/>
              <w:spacing w:before="0" w:after="283"/>
              <w:ind w:left="0" w:right="0" w:hanging="0"/>
              <w:jc w:val="left"/>
              <w:rPr/>
            </w:pPr>
            <w:r>
              <w:rPr/>
              <w:t> </w:t>
            </w:r>
            <w:bookmarkStart w:id="462" w:name="xdx_407_eus-gaap--EarningsPerShareDilute"/>
            <w:bookmarkEnd w:id="462"/>
          </w:p>
        </w:tc>
      </w:tr>
      <w:tr>
        <w:trPr/>
        <w:tc>
          <w:tcPr>
            <w:tcW w:w="6031" w:type="dxa"/>
            <w:tcBorders/>
            <w:shd w:fill="FFFFFF" w:val="clear"/>
            <w:vAlign w:val="center"/>
          </w:tcPr>
          <w:p>
            <w:pPr>
              <w:pStyle w:val="TableContents"/>
              <w:bidi w:val="0"/>
              <w:spacing w:before="0" w:after="283"/>
              <w:jc w:val="left"/>
              <w:rPr/>
            </w:pPr>
            <w:r>
              <w:rPr/>
              <w:t>Net income per Class A common share - diluted</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676" w:type="dxa"/>
            <w:tcBorders/>
            <w:shd w:fill="FFFFFF" w:val="clear"/>
            <w:vAlign w:val="center"/>
          </w:tcPr>
          <w:p>
            <w:pPr>
              <w:pStyle w:val="TableContents"/>
              <w:bidi w:val="0"/>
              <w:spacing w:before="0" w:after="283"/>
              <w:jc w:val="right"/>
              <w:rPr/>
            </w:pPr>
            <w:r>
              <w:rPr/>
              <w:t>0.06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1676" w:type="dxa"/>
            <w:tcBorders/>
            <w:shd w:fill="FFFFFF" w:val="clear"/>
            <w:vAlign w:val="center"/>
          </w:tcPr>
          <w:p>
            <w:pPr>
              <w:pStyle w:val="TableContents"/>
              <w:bidi w:val="0"/>
              <w:spacing w:before="0" w:after="283"/>
              <w:jc w:val="right"/>
              <w:rPr/>
            </w:pPr>
            <w:r>
              <w:rPr/>
              <w:t>0.33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245"/>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bookmarkStart w:id="463" w:name="xdx_F02_zQTjaTXXmdq"/>
            <w:bookmarkEnd w:id="463"/>
            <w:r>
              <w:rPr>
                <w:sz w:val="20"/>
              </w:rPr>
              <w:t>(1)</w:t>
            </w:r>
          </w:p>
        </w:tc>
        <w:tc>
          <w:tcPr>
            <w:tcW w:w="9215" w:type="dxa"/>
            <w:tcBorders/>
            <w:vAlign w:val="center"/>
          </w:tcPr>
          <w:p>
            <w:pPr>
              <w:pStyle w:val="TableContents"/>
              <w:bidi w:val="0"/>
              <w:spacing w:before="0" w:after="283"/>
              <w:jc w:val="both"/>
              <w:rPr>
                <w:sz w:val="20"/>
              </w:rPr>
            </w:pPr>
            <w:bookmarkStart w:id="464" w:name="xdx_F12_z04zHsTOwuf2"/>
            <w:bookmarkEnd w:id="464"/>
            <w:r>
              <w:rPr>
                <w:sz w:val="20"/>
              </w:rPr>
              <w:t xml:space="preserve">Includes </w:t>
            </w:r>
            <w:bookmarkStart w:id="465" w:name="xdx_906_eus-gaap--ClassOfWarrantOrRightN"/>
            <w:bookmarkEnd w:id="465"/>
            <w:r>
              <w:rPr>
                <w:sz w:val="20"/>
              </w:rPr>
              <w:t xml:space="preserve">377,836 and </w:t>
            </w:r>
            <w:bookmarkStart w:id="466" w:name="xdx_90E_eus-gaap--ClassOfWarrantOrRightN"/>
            <w:bookmarkEnd w:id="466"/>
            <w:r>
              <w:rPr>
                <w:sz w:val="20"/>
              </w:rPr>
              <w:t>0 in prefunded warrants for the three months ended March 31, 2026 and 2025, respectively.</w:t>
            </w:r>
          </w:p>
        </w:tc>
      </w:tr>
    </w:tbl>
    <w:p>
      <w:pPr>
        <w:pStyle w:val="TextBody"/>
        <w:bidi w:val="0"/>
        <w:spacing w:before="0" w:after="283"/>
        <w:jc w:val="left"/>
        <w:rPr/>
      </w:pPr>
      <w:bookmarkStart w:id="467" w:name="xdx_8A9_zU22htzhGvBb"/>
      <w:bookmarkEnd w:id="467"/>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shares were excluded from the calculation of weighted average dilutive common shares because their inclusion would have been anti-dilutive.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68" w:name="xdx_89A_ecustom--ScheduleOfAntidilutiveS"/>
      <w:bookmarkEnd w:id="468"/>
      <w:r>
        <w:rPr>
          <w:caps w:val="false"/>
          <w:smallCaps w:val="false"/>
        </w:rPr>
        <w:t> </w:t>
      </w:r>
      <w:bookmarkStart w:id="469" w:name="xdx_8BE_zngjojHV4Pqa"/>
      <w:bookmarkEnd w:id="469"/>
      <w:r>
        <w:rPr>
          <w:rFonts w:ascii="Times New Roman;Times;Serif" w:hAnsi="Times New Roman;Times;Serif"/>
          <w:b w:val="false"/>
          <w:i w:val="false"/>
          <w:caps w:val="false"/>
          <w:smallCaps w:val="false"/>
          <w:sz w:val="20"/>
        </w:rPr>
        <w:t>SCHEDULE OF CALCULATION WEIGHTED AVERAGE DILUTIVE COMMON SHARES</w:t>
      </w:r>
    </w:p>
    <w:tbl>
      <w:tblPr>
        <w:tblW w:w="4806" w:type="dxa"/>
        <w:jc w:val="left"/>
        <w:tblInd w:w="0" w:type="dxa"/>
        <w:tblLayout w:type="fixed"/>
        <w:tblCellMar>
          <w:top w:w="0" w:type="dxa"/>
          <w:left w:w="0" w:type="dxa"/>
          <w:bottom w:w="0" w:type="dxa"/>
          <w:right w:w="0" w:type="dxa"/>
        </w:tblCellMar>
      </w:tblPr>
      <w:tblGrid>
        <w:gridCol w:w="1655"/>
        <w:gridCol w:w="60"/>
        <w:gridCol w:w="101"/>
        <w:gridCol w:w="1255"/>
        <w:gridCol w:w="101"/>
        <w:gridCol w:w="101"/>
        <w:gridCol w:w="101"/>
        <w:gridCol w:w="1357"/>
        <w:gridCol w:w="75"/>
      </w:tblGrid>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70" w:name="xdx_492_20260101__20260331_zGkYmWgDwJ2c"/>
            <w:bookmarkEnd w:id="470"/>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bookmarkStart w:id="471" w:name="xdx_494_20250101__20250331_z1GwaygwWo38"/>
            <w:bookmarkEnd w:id="471"/>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72" w:name="xdx_40D_eus-gaap--AntidilutiveSecurities"/>
            <w:bookmarkEnd w:id="472"/>
          </w:p>
        </w:tc>
      </w:tr>
      <w:tr>
        <w:trPr/>
        <w:tc>
          <w:tcPr>
            <w:tcW w:w="1655" w:type="dxa"/>
            <w:tcBorders/>
            <w:shd w:fill="CCEEFF" w:val="clear"/>
            <w:vAlign w:val="center"/>
          </w:tcPr>
          <w:p>
            <w:pPr>
              <w:pStyle w:val="TableContents"/>
              <w:bidi w:val="0"/>
              <w:spacing w:before="0" w:after="283"/>
              <w:jc w:val="both"/>
              <w:rPr/>
            </w:pPr>
            <w:r>
              <w:rPr/>
              <w:t xml:space="preserve">Stock options </w:t>
            </w:r>
            <w:bookmarkStart w:id="473" w:name="xdx_F40_zSLHSdl8AC5i"/>
            <w:bookmarkEnd w:id="473"/>
            <w:r>
              <w:rPr/>
              <w:t>(1)</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19,578</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96,828</w:t>
            </w:r>
          </w:p>
        </w:tc>
        <w:tc>
          <w:tcPr>
            <w:tcW w:w="75" w:type="dxa"/>
            <w:tcBorders/>
            <w:shd w:fill="CCEEFF" w:val="clear"/>
            <w:vAlign w:val="center"/>
          </w:tcPr>
          <w:p>
            <w:pPr>
              <w:pStyle w:val="TableContents"/>
              <w:bidi w:val="0"/>
              <w:spacing w:before="0" w:after="283"/>
              <w:jc w:val="left"/>
              <w:rPr/>
            </w:pPr>
            <w:r>
              <w:rPr/>
              <w:t> </w:t>
            </w:r>
            <w:bookmarkStart w:id="474" w:name="xdx_403_eus-gaap--AntidilutiveSecurities"/>
            <w:bookmarkEnd w:id="474"/>
          </w:p>
        </w:tc>
      </w:tr>
      <w:tr>
        <w:trPr/>
        <w:tc>
          <w:tcPr>
            <w:tcW w:w="1655" w:type="dxa"/>
            <w:tcBorders/>
            <w:shd w:fill="FFFFFF" w:val="clear"/>
            <w:vAlign w:val="center"/>
          </w:tcPr>
          <w:p>
            <w:pPr>
              <w:pStyle w:val="TableContents"/>
              <w:bidi w:val="0"/>
              <w:spacing w:before="0" w:after="283"/>
              <w:jc w:val="both"/>
              <w:rPr/>
            </w:pPr>
            <w:r>
              <w:rPr/>
              <w:t xml:space="preserve">Warrants </w:t>
            </w:r>
            <w:bookmarkStart w:id="475" w:name="xdx_F44_z0BYAgefM1Ff"/>
            <w:bookmarkEnd w:id="475"/>
            <w:r>
              <w:rPr/>
              <w:t>(2)</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33,574</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pPr>
            <w:r>
              <w:rPr/>
              <w:t>33,574</w:t>
            </w:r>
          </w:p>
        </w:tc>
        <w:tc>
          <w:tcPr>
            <w:tcW w:w="75" w:type="dxa"/>
            <w:tcBorders/>
            <w:shd w:fill="FFFFFF" w:val="clear"/>
            <w:vAlign w:val="center"/>
          </w:tcPr>
          <w:p>
            <w:pPr>
              <w:pStyle w:val="TableContents"/>
              <w:bidi w:val="0"/>
              <w:spacing w:before="0" w:after="283"/>
              <w:jc w:val="left"/>
              <w:rPr/>
            </w:pPr>
            <w:r>
              <w:rPr/>
              <w:t> </w:t>
            </w:r>
            <w:bookmarkStart w:id="476" w:name="xdx_404_eus-gaap--AntidilutiveSecurities"/>
            <w:bookmarkEnd w:id="476"/>
          </w:p>
        </w:tc>
      </w:tr>
      <w:tr>
        <w:trPr/>
        <w:tc>
          <w:tcPr>
            <w:tcW w:w="16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Dilutive securities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53,152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7" w:type="dxa"/>
            <w:tcBorders>
              <w:bottom w:val="double" w:sz="6" w:space="0" w:color="000000"/>
            </w:tcBorders>
            <w:shd w:fill="CCEEFF" w:val="clear"/>
            <w:tcMar>
              <w:bottom w:w="28" w:type="dxa"/>
            </w:tcMar>
            <w:vAlign w:val="center"/>
          </w:tcPr>
          <w:p>
            <w:pPr>
              <w:pStyle w:val="TableContents"/>
              <w:bidi w:val="0"/>
              <w:spacing w:before="0" w:after="283"/>
              <w:jc w:val="right"/>
              <w:rPr/>
            </w:pPr>
            <w:r>
              <w:rPr/>
              <w:t>130,402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7" w:name="xdx_F01_zD65SPKyFApk"/>
            <w:bookmarkEnd w:id="477"/>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8" w:name="xdx_F1C_zmJQE5Nf5hQ2"/>
            <w:bookmarkEnd w:id="478"/>
            <w:r>
              <w:rPr>
                <w:rFonts w:ascii="Times New Roman;Times;Serif" w:hAnsi="Times New Roman;Times;Serif"/>
                <w:b w:val="false"/>
                <w:i w:val="false"/>
                <w:caps w:val="false"/>
                <w:smallCaps w:val="false"/>
                <w:sz w:val="20"/>
              </w:rPr>
              <w:t>Represents all outstanding stock options as of March 31, 2025. The weighted average exercise price for anti-dilutive options was $</w:t>
            </w:r>
            <w:bookmarkStart w:id="479" w:name="xdx_907_ecustom--WeightedAverageExercise"/>
            <w:bookmarkEnd w:id="479"/>
            <w:r>
              <w:rPr>
                <w:rFonts w:ascii="Times New Roman;Times;Serif" w:hAnsi="Times New Roman;Times;Serif"/>
                <w:b w:val="false"/>
                <w:i w:val="false"/>
                <w:caps w:val="false"/>
                <w:smallCaps w:val="false"/>
                <w:sz w:val="20"/>
              </w:rPr>
              <w:t>295.65 for the three months ended March 31, 2026.</w:t>
            </w:r>
          </w:p>
        </w:tc>
      </w:tr>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0" w:name="xdx_F04_zghrDbAHVfw3"/>
            <w:bookmarkEnd w:id="480"/>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1" w:name="xdx_F13_ziqdbWe6iO0g"/>
            <w:bookmarkEnd w:id="481"/>
            <w:r>
              <w:rPr>
                <w:rFonts w:ascii="Times New Roman;Times;Serif" w:hAnsi="Times New Roman;Times;Serif"/>
                <w:b w:val="false"/>
                <w:i w:val="false"/>
                <w:caps w:val="false"/>
                <w:smallCaps w:val="false"/>
                <w:sz w:val="20"/>
              </w:rPr>
              <w:t>Represents all outstanding warrants as of March 31, 2026 and 2025, excluding the pre-funded warrants. The exercise price for the warrants range from $</w:t>
            </w:r>
            <w:bookmarkStart w:id="482" w:name="xdx_90F_eus-gaap--ClassOfWarrantOrRightE"/>
            <w:bookmarkEnd w:id="482"/>
            <w:r>
              <w:rPr>
                <w:rFonts w:ascii="Times New Roman;Times;Serif" w:hAnsi="Times New Roman;Times;Serif"/>
                <w:b w:val="false"/>
                <w:i w:val="false"/>
                <w:caps w:val="false"/>
                <w:smallCaps w:val="false"/>
                <w:sz w:val="20"/>
              </w:rPr>
              <w:t>21.74 to $</w:t>
            </w:r>
            <w:bookmarkStart w:id="483" w:name="xdx_90F_eus-gaap--ClassOfWarrantOrRightE"/>
            <w:bookmarkEnd w:id="483"/>
            <w:r>
              <w:rPr>
                <w:rFonts w:ascii="Times New Roman;Times;Serif" w:hAnsi="Times New Roman;Times;Serif"/>
                <w:b w:val="false"/>
                <w:i w:val="false"/>
                <w:caps w:val="false"/>
                <w:smallCaps w:val="false"/>
                <w:sz w:val="20"/>
              </w:rPr>
              <w:t>29.38.</w:t>
            </w:r>
          </w:p>
        </w:tc>
      </w:tr>
    </w:tbl>
    <w:p>
      <w:pPr>
        <w:pStyle w:val="TextBody"/>
        <w:bidi w:val="0"/>
        <w:spacing w:before="0" w:after="0"/>
        <w:ind w:left="0" w:right="0" w:hanging="0"/>
        <w:jc w:val="both"/>
        <w:rPr>
          <w:caps w:val="false"/>
          <w:smallCaps w:val="false"/>
        </w:rPr>
      </w:pPr>
      <w:bookmarkStart w:id="484" w:name="xdx_8AA_zlvc36Z47fO7"/>
      <w:bookmarkEnd w:id="4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 securities purchase agreement entered into on July 26, 2024, the Company issued warrants to investors and H.C. Wainwright &amp; Co., LLC to purchase up to an aggregate of </w:t>
      </w:r>
      <w:bookmarkStart w:id="485" w:name="xdx_906_eus-gaap--SaleOfStockNumberOfSha"/>
      <w:bookmarkEnd w:id="485"/>
      <w:r>
        <w:rPr>
          <w:rFonts w:ascii="Times New Roman;Times;Serif" w:hAnsi="Times New Roman;Times;Serif"/>
          <w:b w:val="false"/>
          <w:i w:val="false"/>
          <w:caps w:val="false"/>
          <w:smallCaps w:val="false"/>
          <w:sz w:val="20"/>
        </w:rPr>
        <w:t>949,310 shares of Class A common stock (“the Outstanding Warrants”). These warrants will become exercisable on the effective date of the stockholder approval for the issuance of the shares of Class A common stock issuable upon exercise of the warrants. As of March 31, 2026, the Outstanding Warrants had not been approved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6" w:name="xdx_80E_eus-gaap--CommitmentsAndContinge"/>
      <w:bookmarkEnd w:id="486"/>
      <w:r>
        <w:rPr>
          <w:rFonts w:ascii="Times New Roman;Times;Serif" w:hAnsi="Times New Roman;Times;Serif"/>
          <w:b/>
          <w:i w:val="false"/>
          <w:caps w:val="false"/>
          <w:smallCaps w:val="false"/>
          <w:sz w:val="20"/>
        </w:rPr>
        <w:t xml:space="preserve">NOTE 9 – </w:t>
      </w:r>
      <w:bookmarkStart w:id="487" w:name="xdx_821_zLVIrfYk19O5"/>
      <w:bookmarkEnd w:id="48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below.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Litigation or other legal proceedings, with or without merit, is unpredictable and generally expensive and time consuming and, even if resolved in the Company’s favor, is likely to divert significant resources from the Company’s core business, including distracting its management personnel from their normal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condensed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The Company recognizes legal costs associated with loss contingencies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25, 2021, the Company entered into an amendment (the “Le Mans Amendment”) to the Le Mans Esports Series Ltd joint venture agreement, which resulted in an increase of the Company’s ownership interest in the Le Mans Esports Series Ltd joint venture from </w:t>
      </w:r>
      <w:bookmarkStart w:id="488" w:name="xdx_90E_eus-gaap--MinorityInterestOwners"/>
      <w:bookmarkEnd w:id="488"/>
      <w:r>
        <w:rPr>
          <w:rFonts w:ascii="Times New Roman;Times;Serif" w:hAnsi="Times New Roman;Times;Serif"/>
          <w:b w:val="false"/>
          <w:i w:val="false"/>
          <w:caps w:val="false"/>
          <w:smallCaps w:val="false"/>
          <w:sz w:val="20"/>
        </w:rPr>
        <w:t xml:space="preserve">45% to </w:t>
      </w:r>
      <w:bookmarkStart w:id="489" w:name="xdx_90C_eus-gaap--MinorityInterestOwners"/>
      <w:bookmarkEnd w:id="489"/>
      <w:r>
        <w:rPr>
          <w:rFonts w:ascii="Times New Roman;Times;Serif" w:hAnsi="Times New Roman;Times;Serif"/>
          <w:b w:val="false"/>
          <w:i w:val="false"/>
          <w:caps w:val="false"/>
          <w:smallCaps w:val="false"/>
          <w:sz w:val="20"/>
        </w:rPr>
        <w:t>51%. Additionally, through certain multi-year licensing agreements that were entered into in connection with the Le Mans Amendment, the Company secured the rights to be the exclusive video game developer and publisher for the 24 Hours of Le Mans race and the WEC, as well as the rights to create and organize esports leagues and events for the 24 Hours of Le Mans race, the WEC and the 24 Hours of Le Mans Virtual event. In exchange for certain of these license rights, the Company agreed to fund up to €</w:t>
      </w:r>
      <w:bookmarkStart w:id="490" w:name="xdx_906_eus-gaap--OtherCommitment_iI_uEU"/>
      <w:bookmarkEnd w:id="490"/>
      <w:r>
        <w:rPr>
          <w:rFonts w:ascii="Times New Roman;Times;Serif" w:hAnsi="Times New Roman;Times;Serif"/>
          <w:b w:val="false"/>
          <w:i w:val="false"/>
          <w:caps w:val="false"/>
          <w:smallCaps w:val="false"/>
          <w:sz w:val="20"/>
        </w:rPr>
        <w:t>8,000,000 (approximately $</w:t>
      </w:r>
      <w:bookmarkStart w:id="491" w:name="xdx_904_eus-gaap--OtherCommitment_iI_c20"/>
      <w:bookmarkEnd w:id="491"/>
      <w:r>
        <w:rPr>
          <w:rFonts w:ascii="Times New Roman;Times;Serif" w:hAnsi="Times New Roman;Times;Serif"/>
          <w:b w:val="false"/>
          <w:i w:val="false"/>
          <w:caps w:val="false"/>
          <w:smallCaps w:val="false"/>
          <w:sz w:val="20"/>
        </w:rPr>
        <w:t>9,175,000 USD as of March 31, 2026) as needed for development of the video game products, which has been fully funded as of March 31, 2026. The Company is obligated to pay ACO an annual royalty payment of €</w:t>
      </w:r>
      <w:bookmarkStart w:id="492" w:name="xdx_901_eus-gaap--RoyaltyExpense_uEUR_c2"/>
      <w:bookmarkEnd w:id="492"/>
      <w:r>
        <w:rPr>
          <w:rFonts w:ascii="Times New Roman;Times;Serif" w:hAnsi="Times New Roman;Times;Serif"/>
          <w:b w:val="false"/>
          <w:i w:val="false"/>
          <w:caps w:val="false"/>
          <w:smallCaps w:val="false"/>
          <w:sz w:val="20"/>
        </w:rPr>
        <w:t xml:space="preserve">250,000 beginning from the time of the launch of the first video game product and continuing through each anniversary thereof for the term of the license. Further, pursuant to the Le Mans Amendment, the Company has a right to priority distribution of profits to recoup the additional funding and royalty payments made by the Company under the Le Mans Gaming License. See Note 3 –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2020, the Company entered into a licensing agreement with Epic Games International (“Epic”) for worldwide licensing rights to Epic’s proprietary computer program known as the Unreal Engine 4. Pursuant to the agreement, upon payment of the initial license fee described below, the Company was granted a nonexclusive, non-transferable and terminable license to develop, market and sublicense (under limited circumstances and subject to conditions of the agreement) certain products using the Unreal Engine 4 for its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pay Epic a license fee royalty payment equal to </w:t>
      </w:r>
      <w:bookmarkStart w:id="493" w:name="xdx_908_ecustom--LicenseFeeRoyaltyPercen"/>
      <w:bookmarkEnd w:id="493"/>
      <w:r>
        <w:rPr>
          <w:rFonts w:ascii="Times New Roman;Times;Serif" w:hAnsi="Times New Roman;Times;Serif"/>
          <w:b w:val="false"/>
          <w:i w:val="false"/>
          <w:caps w:val="false"/>
          <w:smallCaps w:val="false"/>
          <w:sz w:val="20"/>
        </w:rPr>
        <w:t>5% of product revenue, as defined in the licensing agreement. During the three months ended March 31, 2026 and 2025, Epic earned royalties of approximately $</w:t>
      </w:r>
      <w:bookmarkStart w:id="494" w:name="xdx_90B_eus-gaap--ProceedsFromRoyaltiesR"/>
      <w:bookmarkEnd w:id="494"/>
      <w:r>
        <w:rPr>
          <w:rFonts w:ascii="Times New Roman;Times;Serif" w:hAnsi="Times New Roman;Times;Serif"/>
          <w:b w:val="false"/>
          <w:i w:val="false"/>
          <w:caps w:val="false"/>
          <w:smallCaps w:val="false"/>
          <w:sz w:val="20"/>
        </w:rPr>
        <w:t>5,000 and $</w:t>
      </w:r>
      <w:bookmarkStart w:id="495" w:name="xdx_904_eus-gaap--ProceedsFromRoyaltiesR"/>
      <w:bookmarkEnd w:id="495"/>
      <w:r>
        <w:rPr>
          <w:rFonts w:ascii="Times New Roman;Times;Serif" w:hAnsi="Times New Roman;Times;Serif"/>
          <w:b w:val="false"/>
          <w:i w:val="false"/>
          <w:caps w:val="false"/>
          <w:smallCaps w:val="false"/>
          <w:sz w:val="20"/>
        </w:rPr>
        <w:t>4,000, respectively, under the agreement. Pursuant to the terms of the agreement, the Company has the right to actively develop new or existing authorized products during a 5-year period, which ended on August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6" w:name="xdx_807_eus-gaap--ConcentrationRiskDiscl"/>
      <w:bookmarkEnd w:id="496"/>
      <w:r>
        <w:rPr>
          <w:rFonts w:ascii="Times New Roman;Times;Serif" w:hAnsi="Times New Roman;Times;Serif"/>
          <w:b/>
          <w:i w:val="false"/>
          <w:caps w:val="false"/>
          <w:smallCaps w:val="false"/>
          <w:sz w:val="20"/>
        </w:rPr>
        <w:t xml:space="preserve">NOTE 10 – </w:t>
      </w:r>
      <w:bookmarkStart w:id="497" w:name="xdx_824_z9gzw4kQuog4"/>
      <w:bookmarkEnd w:id="497"/>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8" w:name="xdx_896_eus-gaap--SchedulesOfConcentrati"/>
      <w:bookmarkEnd w:id="498"/>
      <w:r>
        <w:rPr>
          <w:rFonts w:ascii="Times New Roman;Times;Serif" w:hAnsi="Times New Roman;Times;Serif"/>
          <w:b w:val="false"/>
          <w:i w:val="false"/>
          <w:caps w:val="false"/>
          <w:smallCaps w:val="false"/>
          <w:sz w:val="20"/>
        </w:rPr>
        <w:t>The following table sets forth information as to each customer that accounted for 10% or more of the Company’s revenues for the following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9" w:name="xdx_8BD_zeT09I8N7jG5"/>
      <w:bookmarkEnd w:id="499"/>
      <w:r>
        <w:rPr>
          <w:rFonts w:ascii="Times New Roman;Times;Serif" w:hAnsi="Times New Roman;Times;Serif"/>
          <w:b w:val="false"/>
          <w:i w:val="false"/>
          <w:caps w:val="false"/>
          <w:smallCaps w:val="false"/>
          <w:sz w:val="20"/>
        </w:rPr>
        <w:t>SCHEDULE OF CONCENTRATIONS</w:t>
      </w:r>
    </w:p>
    <w:tbl>
      <w:tblPr>
        <w:tblW w:w="3957" w:type="dxa"/>
        <w:jc w:val="left"/>
        <w:tblInd w:w="0" w:type="dxa"/>
        <w:tblLayout w:type="fixed"/>
        <w:tblCellMar>
          <w:top w:w="0" w:type="dxa"/>
          <w:left w:w="0" w:type="dxa"/>
          <w:bottom w:w="0" w:type="dxa"/>
          <w:right w:w="0" w:type="dxa"/>
        </w:tblCellMar>
      </w:tblPr>
      <w:tblGrid>
        <w:gridCol w:w="995"/>
        <w:gridCol w:w="60"/>
        <w:gridCol w:w="144"/>
        <w:gridCol w:w="913"/>
        <w:gridCol w:w="444"/>
        <w:gridCol w:w="144"/>
        <w:gridCol w:w="144"/>
        <w:gridCol w:w="913"/>
        <w:gridCol w:w="200"/>
      </w:tblGrid>
      <w:tr>
        <w:trPr/>
        <w:tc>
          <w:tcPr>
            <w:tcW w:w="9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444"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0" w:name="xdx_90B_eus-gaap--ConcentrationRiskPerce"/>
            <w:bookmarkEnd w:id="500"/>
            <w:r>
              <w:rPr>
                <w:rFonts w:ascii="Times New Roman;Times;Serif" w:hAnsi="Times New Roman;Times;Serif"/>
                <w:b w:val="false"/>
                <w:i w:val="false"/>
                <w:caps w:val="false"/>
                <w:smallCaps w:val="false"/>
                <w:sz w:val="20"/>
              </w:rPr>
              <w:t>52.9</w:t>
            </w:r>
          </w:p>
        </w:tc>
        <w:tc>
          <w:tcPr>
            <w:tcW w:w="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1" w:name="xdx_90F_eus-gaap--ConcentrationRiskPerce"/>
            <w:bookmarkEnd w:id="501"/>
            <w:r>
              <w:rPr>
                <w:rFonts w:ascii="Times New Roman;Times;Serif" w:hAnsi="Times New Roman;Times;Serif"/>
                <w:b w:val="false"/>
                <w:i w:val="false"/>
                <w:caps w:val="false"/>
                <w:smallCaps w:val="false"/>
                <w:sz w:val="20"/>
              </w:rPr>
              <w:t>74.9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2" w:name="xdx_907_eus-gaap--ConcentrationRiskPerce"/>
            <w:bookmarkEnd w:id="502"/>
            <w:r>
              <w:rPr>
                <w:rFonts w:ascii="Times New Roman;Times;Serif" w:hAnsi="Times New Roman;Times;Serif"/>
                <w:b w:val="false"/>
                <w:i w:val="false"/>
                <w:caps w:val="false"/>
                <w:smallCaps w:val="false"/>
                <w:sz w:val="20"/>
              </w:rPr>
              <w:t>20.4</w:t>
            </w:r>
          </w:p>
        </w:tc>
        <w:tc>
          <w:tcPr>
            <w:tcW w:w="4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3" w:name="xdx_90B_eus-gaap--ConcentrationRiskPerce"/>
            <w:bookmarkEnd w:id="503"/>
            <w:r>
              <w:rPr>
                <w:rFonts w:ascii="Times New Roman;Times;Serif" w:hAnsi="Times New Roman;Times;Serif"/>
                <w:b w:val="false"/>
                <w:i w:val="false"/>
                <w:caps w:val="false"/>
                <w:smallCaps w:val="false"/>
                <w:sz w:val="20"/>
              </w:rPr>
              <w:t>10.6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4" w:name="xdx_90A_eus-gaap--ConcentrationRiskPerce"/>
            <w:bookmarkEnd w:id="504"/>
            <w:r>
              <w:rPr>
                <w:rFonts w:ascii="Times New Roman;Times;Serif" w:hAnsi="Times New Roman;Times;Serif"/>
                <w:b w:val="false"/>
                <w:i w:val="false"/>
                <w:caps w:val="false"/>
                <w:smallCaps w:val="false"/>
                <w:sz w:val="20"/>
              </w:rPr>
              <w:t>10.4</w:t>
            </w:r>
          </w:p>
        </w:tc>
        <w:tc>
          <w:tcPr>
            <w:tcW w:w="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5" w:name="xdx_90D_eus-gaap--ConcentrationRiskPerce"/>
            <w:bookmarkEnd w:id="505"/>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6" w:name="xdx_907_eus-gaap--ConcentrationRiskPerce"/>
            <w:bookmarkEnd w:id="506"/>
            <w:r>
              <w:rPr>
                <w:rFonts w:ascii="Times New Roman;Times;Serif" w:hAnsi="Times New Roman;Times;Serif"/>
                <w:b w:val="false"/>
                <w:i w:val="false"/>
                <w:caps w:val="false"/>
                <w:smallCaps w:val="false"/>
                <w:sz w:val="20"/>
              </w:rPr>
              <w:t>83.7</w:t>
            </w:r>
          </w:p>
        </w:tc>
        <w:tc>
          <w:tcPr>
            <w:tcW w:w="4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07" w:name="xdx_902_eus-gaap--ConcentrationRiskPerce"/>
            <w:bookmarkEnd w:id="507"/>
            <w:r>
              <w:rPr>
                <w:rFonts w:ascii="Times New Roman;Times;Serif" w:hAnsi="Times New Roman;Times;Serif"/>
                <w:b w:val="false"/>
                <w:i w:val="false"/>
                <w:caps w:val="false"/>
                <w:smallCaps w:val="false"/>
                <w:sz w:val="20"/>
              </w:rPr>
              <w:t>85.5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each customer that accounted for 10% or more of the Company’s trade accounts receivable as of:</w:t>
      </w:r>
    </w:p>
    <w:p>
      <w:pPr>
        <w:pStyle w:val="TextBody"/>
        <w:bidi w:val="0"/>
        <w:spacing w:before="0" w:after="0"/>
        <w:ind w:left="0" w:right="0" w:hanging="0"/>
        <w:jc w:val="center"/>
        <w:rPr>
          <w:caps w:val="false"/>
          <w:smallCaps w:val="false"/>
        </w:rPr>
      </w:pPr>
      <w:r>
        <w:rPr>
          <w:caps w:val="false"/>
          <w:smallCaps w:val="false"/>
        </w:rPr>
        <w:t> </w:t>
      </w:r>
    </w:p>
    <w:tbl>
      <w:tblPr>
        <w:tblW w:w="5318" w:type="dxa"/>
        <w:jc w:val="left"/>
        <w:tblInd w:w="0" w:type="dxa"/>
        <w:tblLayout w:type="fixed"/>
        <w:tblCellMar>
          <w:top w:w="0" w:type="dxa"/>
          <w:left w:w="0" w:type="dxa"/>
          <w:bottom w:w="28" w:type="dxa"/>
          <w:right w:w="0" w:type="dxa"/>
        </w:tblCellMar>
      </w:tblPr>
      <w:tblGrid>
        <w:gridCol w:w="1190"/>
        <w:gridCol w:w="60"/>
        <w:gridCol w:w="192"/>
        <w:gridCol w:w="1417"/>
        <w:gridCol w:w="215"/>
        <w:gridCol w:w="60"/>
        <w:gridCol w:w="233"/>
        <w:gridCol w:w="1721"/>
        <w:gridCol w:w="230"/>
      </w:tblGrid>
      <w:tr>
        <w:trPr/>
        <w:tc>
          <w:tcPr>
            <w:tcW w:w="1190" w:type="dxa"/>
            <w:tcBorders>
              <w:bottom w:val="single" w:sz="8" w:space="0" w:color="000000"/>
            </w:tcBorders>
            <w:vAlign w:val="center"/>
          </w:tcPr>
          <w:p>
            <w:pPr>
              <w:pStyle w:val="TableContents"/>
              <w:bidi w:val="0"/>
              <w:spacing w:before="0" w:after="283"/>
              <w:jc w:val="center"/>
              <w:rPr>
                <w:b/>
              </w:rPr>
            </w:pPr>
            <w:r>
              <w:rPr>
                <w:b/>
              </w:rPr>
              <w:t>Customer</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both"/>
              <w:rPr/>
            </w:pPr>
            <w:r>
              <w:rPr/>
              <w:t>Customer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417" w:type="dxa"/>
            <w:tcBorders/>
            <w:shd w:fill="CCEEFF" w:val="clear"/>
            <w:tcMar>
              <w:bottom w:w="0" w:type="dxa"/>
            </w:tcMar>
            <w:vAlign w:val="center"/>
          </w:tcPr>
          <w:p>
            <w:pPr>
              <w:pStyle w:val="TableContents"/>
              <w:bidi w:val="0"/>
              <w:spacing w:before="0" w:after="283"/>
              <w:jc w:val="right"/>
              <w:rPr/>
            </w:pPr>
            <w:bookmarkStart w:id="508" w:name="xdx_90C_eus-gaap--ConcentrationRiskPerce"/>
            <w:bookmarkEnd w:id="508"/>
            <w:r>
              <w:rPr/>
              <w:t>40.7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721" w:type="dxa"/>
            <w:tcBorders/>
            <w:shd w:fill="CCEEFF" w:val="clear"/>
            <w:tcMar>
              <w:bottom w:w="0" w:type="dxa"/>
            </w:tcMar>
            <w:vAlign w:val="center"/>
          </w:tcPr>
          <w:p>
            <w:pPr>
              <w:pStyle w:val="TableContents"/>
              <w:bidi w:val="0"/>
              <w:spacing w:before="0" w:after="283"/>
              <w:jc w:val="right"/>
              <w:rPr/>
            </w:pPr>
            <w:bookmarkStart w:id="509" w:name="xdx_90F_eus-gaap--ConcentrationRiskPerce"/>
            <w:bookmarkEnd w:id="509"/>
            <w:r>
              <w:rPr/>
              <w:t>46.9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190" w:type="dxa"/>
            <w:tcBorders/>
            <w:shd w:fill="FFFFFF" w:val="clear"/>
            <w:tcMar>
              <w:bottom w:w="0" w:type="dxa"/>
            </w:tcMar>
            <w:vAlign w:val="center"/>
          </w:tcPr>
          <w:p>
            <w:pPr>
              <w:pStyle w:val="TableContents"/>
              <w:bidi w:val="0"/>
              <w:spacing w:before="0" w:after="283"/>
              <w:jc w:val="both"/>
              <w:rPr/>
            </w:pPr>
            <w:r>
              <w:rPr/>
              <w:t>Customer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417" w:type="dxa"/>
            <w:tcBorders/>
            <w:shd w:fill="FFFFFF" w:val="clear"/>
            <w:tcMar>
              <w:bottom w:w="0" w:type="dxa"/>
            </w:tcMar>
            <w:vAlign w:val="center"/>
          </w:tcPr>
          <w:p>
            <w:pPr>
              <w:pStyle w:val="TableContents"/>
              <w:bidi w:val="0"/>
              <w:spacing w:before="0" w:after="283"/>
              <w:jc w:val="right"/>
              <w:rPr/>
            </w:pPr>
            <w:bookmarkStart w:id="510" w:name="xdx_902_eus-gaap--ConcentrationRiskPerce"/>
            <w:bookmarkEnd w:id="510"/>
            <w:r>
              <w:rPr/>
              <w:t>35.7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721" w:type="dxa"/>
            <w:tcBorders/>
            <w:shd w:fill="FFFFFF" w:val="clear"/>
            <w:tcMar>
              <w:bottom w:w="0" w:type="dxa"/>
            </w:tcMar>
            <w:vAlign w:val="center"/>
          </w:tcPr>
          <w:p>
            <w:pPr>
              <w:pStyle w:val="TableContents"/>
              <w:bidi w:val="0"/>
              <w:spacing w:before="0" w:after="283"/>
              <w:jc w:val="right"/>
              <w:rPr/>
            </w:pPr>
            <w:bookmarkStart w:id="511" w:name="xdx_906_eus-gaap--ConcentrationRiskPerce"/>
            <w:bookmarkEnd w:id="511"/>
            <w:r>
              <w:rPr/>
              <w:t>29.5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190" w:type="dxa"/>
            <w:tcBorders/>
            <w:shd w:fill="CCEEFF" w:val="clear"/>
            <w:tcMar>
              <w:bottom w:w="0" w:type="dxa"/>
            </w:tcMar>
            <w:vAlign w:val="center"/>
          </w:tcPr>
          <w:p>
            <w:pPr>
              <w:pStyle w:val="TableContents"/>
              <w:bidi w:val="0"/>
              <w:spacing w:before="0" w:after="283"/>
              <w:jc w:val="both"/>
              <w:rPr/>
            </w:pPr>
            <w:r>
              <w:rPr/>
              <w:t>Customer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417" w:type="dxa"/>
            <w:tcBorders/>
            <w:shd w:fill="CCEEFF" w:val="clear"/>
            <w:tcMar>
              <w:bottom w:w="0" w:type="dxa"/>
            </w:tcMar>
            <w:vAlign w:val="center"/>
          </w:tcPr>
          <w:p>
            <w:pPr>
              <w:pStyle w:val="TableContents"/>
              <w:bidi w:val="0"/>
              <w:spacing w:before="0" w:after="283"/>
              <w:jc w:val="right"/>
              <w:rPr/>
            </w:pPr>
            <w:bookmarkStart w:id="512" w:name="xdx_905_eus-gaap--ConcentrationRiskPerce"/>
            <w:bookmarkEnd w:id="512"/>
            <w:r>
              <w:rPr/>
              <w:t>12.1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721" w:type="dxa"/>
            <w:tcBorders/>
            <w:shd w:fill="CCEEFF" w:val="clear"/>
            <w:tcMar>
              <w:bottom w:w="0" w:type="dxa"/>
            </w:tcMar>
            <w:vAlign w:val="center"/>
          </w:tcPr>
          <w:p>
            <w:pPr>
              <w:pStyle w:val="TableContents"/>
              <w:bidi w:val="0"/>
              <w:spacing w:before="0" w:after="283"/>
              <w:jc w:val="right"/>
              <w:rPr/>
            </w:pPr>
            <w:bookmarkStart w:id="513" w:name="xdx_909_eus-gaap--ConcentrationRiskPerce"/>
            <w:bookmarkEnd w:id="513"/>
            <w:r>
              <w:rPr/>
              <w:t>11.8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190" w:type="dxa"/>
            <w:tcBorders/>
            <w:shd w:fill="FFFFFF" w:val="clear"/>
            <w:tcMar>
              <w:bottom w:w="0" w:type="dxa"/>
            </w:tcMar>
            <w:vAlign w:val="center"/>
          </w:tcPr>
          <w:p>
            <w:pPr>
              <w:pStyle w:val="TableContents"/>
              <w:bidi w:val="0"/>
              <w:spacing w:before="0" w:after="283"/>
              <w:jc w:val="both"/>
              <w:rPr/>
            </w:pPr>
            <w:r>
              <w:rPr/>
              <w:t>Customer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417" w:type="dxa"/>
            <w:tcBorders>
              <w:bottom w:val="single" w:sz="8" w:space="0" w:color="000000"/>
            </w:tcBorders>
            <w:shd w:fill="FFFFFF" w:val="clear"/>
            <w:vAlign w:val="center"/>
          </w:tcPr>
          <w:p>
            <w:pPr>
              <w:pStyle w:val="TableContents"/>
              <w:bidi w:val="0"/>
              <w:spacing w:before="0" w:after="283"/>
              <w:jc w:val="right"/>
              <w:rPr/>
            </w:pPr>
            <w:bookmarkStart w:id="514" w:name="xdx_90E_eus-gaap--ConcentrationRiskPerce"/>
            <w:bookmarkEnd w:id="514"/>
            <w:r>
              <w:rPr/>
              <w:t>10.2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bottom w:val="single" w:sz="8" w:space="0" w:color="000000"/>
            </w:tcBorders>
            <w:shd w:fill="FFFFFF" w:val="clear"/>
            <w:vAlign w:val="center"/>
          </w:tcPr>
          <w:p>
            <w:pPr>
              <w:pStyle w:val="TableContents"/>
              <w:bidi w:val="0"/>
              <w:spacing w:before="0" w:after="283"/>
              <w:jc w:val="left"/>
              <w:rPr/>
            </w:pPr>
            <w:r>
              <w:rPr/>
              <w:t> </w:t>
            </w:r>
          </w:p>
        </w:tc>
        <w:tc>
          <w:tcPr>
            <w:tcW w:w="1721" w:type="dxa"/>
            <w:tcBorders>
              <w:bottom w:val="single" w:sz="8" w:space="0" w:color="000000"/>
            </w:tcBorders>
            <w:shd w:fill="FFFFFF" w:val="clear"/>
            <w:vAlign w:val="center"/>
          </w:tcPr>
          <w:p>
            <w:pPr>
              <w:pStyle w:val="TableContents"/>
              <w:bidi w:val="0"/>
              <w:spacing w:before="0" w:after="283"/>
              <w:jc w:val="right"/>
              <w:rPr/>
            </w:pPr>
            <w:bookmarkStart w:id="515" w:name="xdx_90C_eus-gaap--ConcentrationRiskPerce"/>
            <w:bookmarkEnd w:id="515"/>
            <w:r>
              <w:rPr/>
              <w:t>10.2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190"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CCEEFF" w:val="clear"/>
            <w:vAlign w:val="center"/>
          </w:tcPr>
          <w:p>
            <w:pPr>
              <w:pStyle w:val="TableContents"/>
              <w:bidi w:val="0"/>
              <w:spacing w:before="0" w:after="283"/>
              <w:jc w:val="left"/>
              <w:rPr/>
            </w:pPr>
            <w:r>
              <w:rPr/>
              <w:t> </w:t>
            </w:r>
          </w:p>
        </w:tc>
        <w:tc>
          <w:tcPr>
            <w:tcW w:w="1417" w:type="dxa"/>
            <w:tcBorders>
              <w:bottom w:val="double" w:sz="6" w:space="0" w:color="000000"/>
            </w:tcBorders>
            <w:shd w:fill="CCEEFF" w:val="clear"/>
            <w:vAlign w:val="center"/>
          </w:tcPr>
          <w:p>
            <w:pPr>
              <w:pStyle w:val="TableContents"/>
              <w:bidi w:val="0"/>
              <w:spacing w:before="0" w:after="283"/>
              <w:jc w:val="right"/>
              <w:rPr/>
            </w:pPr>
            <w:bookmarkStart w:id="516" w:name="xdx_90E_eus-gaap--ConcentrationRiskPerce"/>
            <w:bookmarkEnd w:id="516"/>
            <w:r>
              <w:rPr/>
              <w:t>98.7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bottom w:val="double" w:sz="6" w:space="0" w:color="000000"/>
            </w:tcBorders>
            <w:shd w:fill="CCEEFF" w:val="clear"/>
            <w:vAlign w:val="center"/>
          </w:tcPr>
          <w:p>
            <w:pPr>
              <w:pStyle w:val="TableContents"/>
              <w:bidi w:val="0"/>
              <w:spacing w:before="0" w:after="283"/>
              <w:jc w:val="left"/>
              <w:rPr/>
            </w:pPr>
            <w:r>
              <w:rPr/>
              <w:t> </w:t>
            </w:r>
          </w:p>
        </w:tc>
        <w:tc>
          <w:tcPr>
            <w:tcW w:w="1721" w:type="dxa"/>
            <w:tcBorders>
              <w:bottom w:val="double" w:sz="6" w:space="0" w:color="000000"/>
            </w:tcBorders>
            <w:shd w:fill="CCEEFF" w:val="clear"/>
            <w:vAlign w:val="center"/>
          </w:tcPr>
          <w:p>
            <w:pPr>
              <w:pStyle w:val="TableContents"/>
              <w:bidi w:val="0"/>
              <w:spacing w:before="0" w:after="283"/>
              <w:jc w:val="right"/>
              <w:rPr/>
            </w:pPr>
            <w:bookmarkStart w:id="517" w:name="xdx_904_eus-gaap--ConcentrationRiskPerce"/>
            <w:bookmarkEnd w:id="517"/>
            <w:r>
              <w:rPr/>
              <w:t>98.4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Supplier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18" w:name="xdx_897_eus-gaap--SchedulesOfConcentrati"/>
      <w:bookmarkEnd w:id="518"/>
      <w:r>
        <w:rPr>
          <w:rFonts w:ascii="Times New Roman;Times;Serif" w:hAnsi="Times New Roman;Times;Serif"/>
          <w:b w:val="false"/>
          <w:i w:val="false"/>
          <w:caps w:val="false"/>
          <w:smallCaps w:val="false"/>
          <w:sz w:val="20"/>
        </w:rPr>
        <w:t>The following table sets forth information as to each supplier that accounted for 10% or more of the Company’s cost of revenues for the following periods:</w:t>
      </w:r>
    </w:p>
    <w:p>
      <w:pPr>
        <w:pStyle w:val="TextBody"/>
        <w:bidi w:val="0"/>
        <w:spacing w:before="0" w:after="0"/>
        <w:ind w:left="0" w:right="0" w:firstLine="720"/>
        <w:jc w:val="both"/>
        <w:rPr>
          <w:caps w:val="false"/>
          <w:smallCaps w:val="false"/>
        </w:rPr>
      </w:pPr>
      <w:r>
        <w:rPr>
          <w:caps w:val="false"/>
          <w:smallCaps w:val="false"/>
        </w:rPr>
        <w:t> </w:t>
      </w:r>
      <w:bookmarkStart w:id="519" w:name="xdx_8BA_z246BObUC5Li"/>
      <w:bookmarkEnd w:id="519"/>
      <w:r>
        <w:rPr>
          <w:rFonts w:ascii="Times New Roman;Times;Serif" w:hAnsi="Times New Roman;Times;Serif"/>
          <w:b w:val="false"/>
          <w:i w:val="false"/>
          <w:caps w:val="false"/>
          <w:smallCaps w:val="false"/>
          <w:sz w:val="20"/>
        </w:rPr>
        <w:t>SCHEDULE OF CONCENTRATIONS</w:t>
      </w:r>
    </w:p>
    <w:tbl>
      <w:tblPr>
        <w:tblW w:w="3868" w:type="dxa"/>
        <w:jc w:val="left"/>
        <w:tblInd w:w="0" w:type="dxa"/>
        <w:tblLayout w:type="fixed"/>
        <w:tblCellMar>
          <w:top w:w="0" w:type="dxa"/>
          <w:left w:w="0" w:type="dxa"/>
          <w:bottom w:w="0" w:type="dxa"/>
          <w:right w:w="0" w:type="dxa"/>
        </w:tblCellMar>
      </w:tblPr>
      <w:tblGrid>
        <w:gridCol w:w="905"/>
        <w:gridCol w:w="60"/>
        <w:gridCol w:w="174"/>
        <w:gridCol w:w="1105"/>
        <w:gridCol w:w="538"/>
        <w:gridCol w:w="174"/>
        <w:gridCol w:w="174"/>
        <w:gridCol w:w="538"/>
        <w:gridCol w:w="200"/>
      </w:tblGrid>
      <w:tr>
        <w:trPr/>
        <w:tc>
          <w:tcPr>
            <w:tcW w:w="9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538" w:type="dxa"/>
            <w:tcBorders/>
            <w:vAlign w:val="center"/>
          </w:tcPr>
          <w:p>
            <w:pPr>
              <w:pStyle w:val="TableContents"/>
              <w:bidi w:val="0"/>
              <w:spacing w:before="0" w:after="283"/>
              <w:jc w:val="left"/>
              <w:rPr>
                <w:caps w:val="false"/>
                <w:smallCaps w:val="false"/>
              </w:rPr>
            </w:pPr>
            <w:r>
              <w:rPr>
                <w:caps w:val="false"/>
                <w:smallCaps w:val="false"/>
              </w:rPr>
              <w:t> </w:t>
            </w:r>
          </w:p>
        </w:tc>
        <w:tc>
          <w:tcPr>
            <w:tcW w:w="174"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 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0" w:name="xdx_90F_eus-gaap--ConcentrationRiskPerce"/>
            <w:bookmarkEnd w:id="520"/>
            <w:r>
              <w:rPr>
                <w:rFonts w:ascii="Times New Roman;Times;Serif" w:hAnsi="Times New Roman;Times;Serif"/>
                <w:b w:val="false"/>
                <w:i w:val="false"/>
                <w:caps w:val="false"/>
                <w:smallCaps w:val="false"/>
                <w:sz w:val="20"/>
              </w:rPr>
              <w:t>17.2</w:t>
            </w:r>
          </w:p>
        </w:tc>
        <w:tc>
          <w:tcPr>
            <w:tcW w:w="5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21" w:name="xdx_905_eus-gaap--ConcentrationRiskPerce"/>
            <w:bookmarkEnd w:id="521"/>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22" w:name="xdx_F01_zZExpzCX09k4"/>
            <w:bookmarkEnd w:id="522"/>
            <w:r>
              <w:rPr>
                <w:rFonts w:ascii="Times New Roman;Times;Serif" w:hAnsi="Times New Roman;Times;Serif"/>
                <w:b w:val="false"/>
                <w:i w:val="false"/>
                <w:caps w:val="false"/>
                <w:smallCaps w:val="false"/>
                <w:sz w:val="20"/>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3" w:name="xdx_F1D_z2vi4mNRHSh4"/>
            <w:bookmarkEnd w:id="523"/>
            <w:r>
              <w:rPr>
                <w:rFonts w:ascii="Times New Roman;Times;Serif" w:hAnsi="Times New Roman;Times;Serif"/>
                <w:b w:val="false"/>
                <w:i w:val="false"/>
                <w:caps w:val="false"/>
                <w:smallCaps w:val="false"/>
                <w:sz w:val="20"/>
              </w:rPr>
              <w:t>Less than 10%.</w:t>
            </w:r>
          </w:p>
        </w:tc>
      </w:tr>
    </w:tbl>
    <w:p>
      <w:pPr>
        <w:pStyle w:val="TextBody"/>
        <w:bidi w:val="0"/>
        <w:spacing w:before="0" w:after="0"/>
        <w:ind w:left="0" w:right="0" w:hanging="0"/>
        <w:jc w:val="both"/>
        <w:rPr>
          <w:caps w:val="false"/>
          <w:smallCaps w:val="false"/>
        </w:rPr>
      </w:pPr>
      <w:bookmarkStart w:id="524" w:name="xdx_8AA_zzO5JT3os8Ek"/>
      <w:bookmarkEnd w:id="5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sales from or loss of these customers or supplier, in a significant amount, would have a material adverse effect on the Company’s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5" w:name="xdx_804_eus-gaap--SegmentReportingDisclo"/>
      <w:bookmarkEnd w:id="525"/>
      <w:r>
        <w:rPr>
          <w:rFonts w:ascii="Times New Roman;Times;Serif" w:hAnsi="Times New Roman;Times;Serif"/>
          <w:b/>
          <w:i w:val="false"/>
          <w:caps w:val="false"/>
          <w:smallCaps w:val="false"/>
          <w:sz w:val="20"/>
        </w:rPr>
        <w:t xml:space="preserve">NOTE 11 – </w:t>
      </w:r>
      <w:bookmarkStart w:id="526" w:name="xdx_823_ztBk1hdnzAt3"/>
      <w:bookmarkEnd w:id="526"/>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principal operating segments coincide with the types of products and services sold by the Company. The products and services from which revenues are derived are consistent with the reporting structure of the Company’s internal organization. The Company’s </w:t>
      </w:r>
      <w:bookmarkStart w:id="527" w:name="xdx_90D_eus-gaap--NumberOfReportableSegm"/>
      <w:bookmarkStart w:id="528" w:name="xdx_907_eus-gaap--NumberOfReportableSegm"/>
      <w:bookmarkEnd w:id="527"/>
      <w:bookmarkEnd w:id="528"/>
      <w:r>
        <w:rPr>
          <w:rFonts w:ascii="Times New Roman;Times;Serif" w:hAnsi="Times New Roman;Times;Serif"/>
          <w:b w:val="false"/>
          <w:i w:val="false"/>
          <w:caps w:val="false"/>
          <w:smallCaps w:val="false"/>
          <w:sz w:val="20"/>
        </w:rPr>
        <w:t>two reportable segments for the three months ended March 31, 2026 and 2025 were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 The Company’s Chief Operating Decision Maker (“CODM”) has been identified as the Company’s Chief Executive Officer, who reviews operating results to make decisions about allocating resources and assessing performance for the entire Company. Segment information is presented based upon the Company’s management organization structure as of March 31, 2026 and the distinctive nature of each segment. Future changes to this internal financial structure may result in changes to the reportable segments disclosed. There are no inter-segment revenue transactions and, therefore, revenues are only to external customers. As the Company primarily generates its revenues from customers in the United States,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operating profit is determined based upon internal performance measures used by the CODM.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net revenues, gross profit and operating income/ loss. Management uses these results to evaluate the performance of, and to assign resources to, each of the reportable segments. The Company manages certain operating expenses separately at the corporate level and does not allocate such expenses to the segments. Segment income from operations excludes interest income/expense and other income or expenses and income taxes according to how a particular reportable segment’s management is measured.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9" w:name="xdx_890_eus-gaap--ScheduleOfSegmentRepor"/>
      <w:bookmarkEnd w:id="529"/>
      <w:r>
        <w:rPr>
          <w:rFonts w:ascii="Times New Roman;Times;Serif" w:hAnsi="Times New Roman;Times;Serif"/>
          <w:b w:val="false"/>
          <w:i w:val="false"/>
          <w:caps w:val="false"/>
          <w:smallCaps w:val="false"/>
          <w:sz w:val="20"/>
        </w:rPr>
        <w:t>Segment information available with respect to these reportable business segments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0" w:name="xdx_8B9_z6j4TVgW1sCg"/>
      <w:bookmarkEnd w:id="530"/>
      <w:r>
        <w:rPr>
          <w:rFonts w:ascii="Times New Roman;Times;Serif" w:hAnsi="Times New Roman;Times;Serif"/>
          <w:b w:val="false"/>
          <w:i w:val="false"/>
          <w:caps w:val="false"/>
          <w:smallCaps w:val="false"/>
          <w:sz w:val="20"/>
        </w:rPr>
        <w:t>SCHEDULE OF SEGMENT REPORTING INFORMATION </w:t>
      </w:r>
    </w:p>
    <w:tbl>
      <w:tblPr>
        <w:tblW w:w="8456" w:type="dxa"/>
        <w:jc w:val="left"/>
        <w:tblInd w:w="0" w:type="dxa"/>
        <w:tblLayout w:type="fixed"/>
        <w:tblCellMar>
          <w:top w:w="0" w:type="dxa"/>
          <w:left w:w="0" w:type="dxa"/>
          <w:bottom w:w="0" w:type="dxa"/>
          <w:right w:w="0" w:type="dxa"/>
        </w:tblCellMar>
      </w:tblPr>
      <w:tblGrid>
        <w:gridCol w:w="4160"/>
        <w:gridCol w:w="60"/>
        <w:gridCol w:w="241"/>
        <w:gridCol w:w="1689"/>
        <w:gridCol w:w="163"/>
        <w:gridCol w:w="103"/>
        <w:gridCol w:w="241"/>
        <w:gridCol w:w="1689"/>
        <w:gridCol w:w="11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1" w:name="xdx_498_20260101__20260331_zClWXSMqhER7"/>
            <w:bookmarkEnd w:id="531"/>
          </w:p>
        </w:tc>
        <w:tc>
          <w:tcPr>
            <w:tcW w:w="19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532" w:name="xdx_49C_20250101__20250331_zaZHLDKkJqO2"/>
            <w:bookmarkEnd w:id="532"/>
          </w:p>
        </w:tc>
        <w:tc>
          <w:tcPr>
            <w:tcW w:w="19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930" w:type="dxa"/>
            <w:gridSpan w:val="2"/>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3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533" w:name="xdx_405_eus-gaap--RevenueFromContractWit"/>
            <w:bookmarkEnd w:id="533"/>
          </w:p>
        </w:tc>
      </w:tr>
      <w:tr>
        <w:trPr/>
        <w:tc>
          <w:tcPr>
            <w:tcW w:w="416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4,031,289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1,758,453</w:t>
            </w:r>
          </w:p>
        </w:tc>
        <w:tc>
          <w:tcPr>
            <w:tcW w:w="110" w:type="dxa"/>
            <w:tcBorders/>
            <w:shd w:fill="FFFFFF" w:val="clear"/>
            <w:vAlign w:val="center"/>
          </w:tcPr>
          <w:p>
            <w:pPr>
              <w:pStyle w:val="TableContents"/>
              <w:bidi w:val="0"/>
              <w:spacing w:before="0" w:after="283"/>
              <w:jc w:val="left"/>
              <w:rPr/>
            </w:pPr>
            <w:r>
              <w:rPr/>
              <w:t> </w:t>
            </w:r>
            <w:bookmarkStart w:id="534" w:name="xdx_400_eus-gaap--RevenueFromContractWit"/>
            <w:bookmarkEnd w:id="534"/>
          </w:p>
        </w:tc>
      </w:tr>
      <w:tr>
        <w:trPr/>
        <w:tc>
          <w:tcPr>
            <w:tcW w:w="416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35" w:name="xdx_40A_eus-gaap--RevenueFromContractWit"/>
            <w:bookmarkEnd w:id="535"/>
          </w:p>
        </w:tc>
      </w:tr>
      <w:tr>
        <w:trPr/>
        <w:tc>
          <w:tcPr>
            <w:tcW w:w="416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4,031,289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1,758,453</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6" w:name="xdx_403_eus-gaap--CostOfRevenue_hus-gaap"/>
            <w:bookmarkEnd w:id="536"/>
          </w:p>
        </w:tc>
      </w:tr>
      <w:tr>
        <w:trPr/>
        <w:tc>
          <w:tcPr>
            <w:tcW w:w="4160" w:type="dxa"/>
            <w:tcBorders/>
            <w:shd w:fill="CCEEFF" w:val="clear"/>
            <w:vAlign w:val="center"/>
          </w:tcPr>
          <w:p>
            <w:pPr>
              <w:pStyle w:val="TableContents"/>
              <w:bidi w:val="0"/>
              <w:spacing w:before="0" w:after="283"/>
              <w:jc w:val="left"/>
              <w:rPr/>
            </w:pPr>
            <w:r>
              <w:rPr/>
              <w:t>Gaming</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494,125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446,941</w:t>
            </w:r>
          </w:p>
        </w:tc>
        <w:tc>
          <w:tcPr>
            <w:tcW w:w="110" w:type="dxa"/>
            <w:tcBorders/>
            <w:shd w:fill="CCEEFF" w:val="clear"/>
            <w:vAlign w:val="center"/>
          </w:tcPr>
          <w:p>
            <w:pPr>
              <w:pStyle w:val="TableContents"/>
              <w:bidi w:val="0"/>
              <w:spacing w:before="0" w:after="283"/>
              <w:jc w:val="left"/>
              <w:rPr/>
            </w:pPr>
            <w:r>
              <w:rPr/>
              <w:t> </w:t>
            </w:r>
            <w:bookmarkStart w:id="537" w:name="xdx_404_eus-gaap--CostOfRevenue_hus-gaap"/>
            <w:bookmarkEnd w:id="537"/>
          </w:p>
        </w:tc>
      </w:tr>
      <w:tr>
        <w:trPr/>
        <w:tc>
          <w:tcPr>
            <w:tcW w:w="4160" w:type="dxa"/>
            <w:tcBorders/>
            <w:shd w:fill="FFFFFF" w:val="clear"/>
            <w:vAlign w:val="center"/>
          </w:tcPr>
          <w:p>
            <w:pPr>
              <w:pStyle w:val="TableContents"/>
              <w:bidi w:val="0"/>
              <w:spacing w:before="0" w:after="283"/>
              <w:jc w:val="left"/>
              <w:rPr/>
            </w:pPr>
            <w:r>
              <w:rPr/>
              <w:t>Esports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23,012</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18,445</w:t>
            </w:r>
          </w:p>
        </w:tc>
        <w:tc>
          <w:tcPr>
            <w:tcW w:w="110" w:type="dxa"/>
            <w:tcBorders/>
            <w:shd w:fill="FFFFFF" w:val="clear"/>
            <w:vAlign w:val="center"/>
          </w:tcPr>
          <w:p>
            <w:pPr>
              <w:pStyle w:val="TableContents"/>
              <w:bidi w:val="0"/>
              <w:spacing w:before="0" w:after="283"/>
              <w:jc w:val="left"/>
              <w:rPr/>
            </w:pPr>
            <w:r>
              <w:rPr/>
              <w:t> </w:t>
            </w:r>
            <w:bookmarkStart w:id="538" w:name="xdx_406_eus-gaap--CostOfRevenue_zrUN9BMV"/>
            <w:bookmarkEnd w:id="538"/>
          </w:p>
        </w:tc>
      </w:tr>
      <w:tr>
        <w:trPr/>
        <w:tc>
          <w:tcPr>
            <w:tcW w:w="4160"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517,137</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465,386</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39" w:name="xdx_402_eus-gaap--GrossProfit_hus-gaap--"/>
            <w:bookmarkEnd w:id="539"/>
          </w:p>
        </w:tc>
      </w:tr>
      <w:tr>
        <w:trPr/>
        <w:tc>
          <w:tcPr>
            <w:tcW w:w="416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3,537,164</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1,311,512</w:t>
            </w:r>
          </w:p>
        </w:tc>
        <w:tc>
          <w:tcPr>
            <w:tcW w:w="110" w:type="dxa"/>
            <w:tcBorders/>
            <w:shd w:fill="FFFFFF" w:val="clear"/>
            <w:vAlign w:val="center"/>
          </w:tcPr>
          <w:p>
            <w:pPr>
              <w:pStyle w:val="TableContents"/>
              <w:bidi w:val="0"/>
              <w:spacing w:before="0" w:after="283"/>
              <w:jc w:val="left"/>
              <w:rPr/>
            </w:pPr>
            <w:r>
              <w:rPr/>
              <w:t> </w:t>
            </w:r>
            <w:bookmarkStart w:id="540" w:name="xdx_402_eus-gaap--GrossProfit_hus-gaap--"/>
            <w:bookmarkEnd w:id="540"/>
          </w:p>
        </w:tc>
      </w:tr>
      <w:tr>
        <w:trPr/>
        <w:tc>
          <w:tcPr>
            <w:tcW w:w="416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(23,012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110" w:type="dxa"/>
            <w:tcBorders/>
            <w:shd w:fill="CCEEFF" w:val="clear"/>
            <w:vAlign w:val="center"/>
          </w:tcPr>
          <w:p>
            <w:pPr>
              <w:pStyle w:val="TableContents"/>
              <w:bidi w:val="0"/>
              <w:spacing w:before="0" w:after="283"/>
              <w:jc w:val="left"/>
              <w:rPr/>
            </w:pPr>
            <w:r>
              <w:rPr/>
              <w:t>)</w:t>
            </w:r>
            <w:bookmarkStart w:id="541" w:name="xdx_403_eus-gaap--GrossProfit_zFuKHt2kml"/>
            <w:bookmarkEnd w:id="541"/>
          </w:p>
        </w:tc>
      </w:tr>
      <w:tr>
        <w:trPr/>
        <w:tc>
          <w:tcPr>
            <w:tcW w:w="4160" w:type="dxa"/>
            <w:tcBorders/>
            <w:shd w:fill="FFFFFF" w:val="clear"/>
            <w:vAlign w:val="center"/>
          </w:tcPr>
          <w:p>
            <w:pPr>
              <w:pStyle w:val="TableContents"/>
              <w:bidi w:val="0"/>
              <w:spacing w:before="0" w:after="283"/>
              <w:jc w:val="left"/>
              <w:rPr/>
            </w:pPr>
            <w:r>
              <w:rPr/>
              <w:t>Total 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3,514,152</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1,293,067</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42" w:name="xdx_407_eus-gaap--SellingAndMarketingExp"/>
            <w:bookmarkEnd w:id="542"/>
          </w:p>
        </w:tc>
      </w:tr>
      <w:tr>
        <w:trPr/>
        <w:tc>
          <w:tcPr>
            <w:tcW w:w="4160" w:type="dxa"/>
            <w:tcBorders/>
            <w:shd w:fill="CCEEFF" w:val="clear"/>
            <w:vAlign w:val="center"/>
          </w:tcPr>
          <w:p>
            <w:pPr>
              <w:pStyle w:val="TableContents"/>
              <w:bidi w:val="0"/>
              <w:spacing w:before="0" w:after="283"/>
              <w:jc w:val="left"/>
              <w:rPr/>
            </w:pPr>
            <w:r>
              <w:rPr/>
              <w:t>Gaming</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210,319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97,701</w:t>
            </w:r>
          </w:p>
        </w:tc>
        <w:tc>
          <w:tcPr>
            <w:tcW w:w="110" w:type="dxa"/>
            <w:tcBorders/>
            <w:shd w:fill="CCEEFF" w:val="clear"/>
            <w:vAlign w:val="center"/>
          </w:tcPr>
          <w:p>
            <w:pPr>
              <w:pStyle w:val="TableContents"/>
              <w:bidi w:val="0"/>
              <w:spacing w:before="0" w:after="283"/>
              <w:jc w:val="left"/>
              <w:rPr/>
            </w:pPr>
            <w:r>
              <w:rPr/>
              <w:t> </w:t>
            </w:r>
            <w:bookmarkStart w:id="543" w:name="xdx_407_eus-gaap--SellingAndMarketingExp"/>
            <w:bookmarkEnd w:id="543"/>
          </w:p>
        </w:tc>
      </w:tr>
      <w:tr>
        <w:trPr/>
        <w:tc>
          <w:tcPr>
            <w:tcW w:w="4160" w:type="dxa"/>
            <w:tcBorders/>
            <w:shd w:fill="FFFFFF" w:val="clear"/>
            <w:vAlign w:val="center"/>
          </w:tcPr>
          <w:p>
            <w:pPr>
              <w:pStyle w:val="TableContents"/>
              <w:bidi w:val="0"/>
              <w:spacing w:before="0" w:after="283"/>
              <w:jc w:val="left"/>
              <w:rPr/>
            </w:pPr>
            <w:r>
              <w:rPr/>
              <w:t>Esports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44" w:name="xdx_402_eus-gaap--SellingAndMarketingExp"/>
            <w:bookmarkEnd w:id="544"/>
          </w:p>
        </w:tc>
      </w:tr>
      <w:tr>
        <w:trPr/>
        <w:tc>
          <w:tcPr>
            <w:tcW w:w="4160" w:type="dxa"/>
            <w:tcBorders/>
            <w:shd w:fill="CCEEFF" w:val="clear"/>
            <w:vAlign w:val="center"/>
          </w:tcPr>
          <w:p>
            <w:pPr>
              <w:pStyle w:val="TableContents"/>
              <w:bidi w:val="0"/>
              <w:spacing w:before="0" w:after="283"/>
              <w:jc w:val="left"/>
              <w:rPr/>
            </w:pPr>
            <w:r>
              <w:rPr/>
              <w:t>Total Sales and Marketing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210,319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97,701</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Development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45" w:name="xdx_400_eus-gaap--ResearchAndDevelopment"/>
            <w:bookmarkEnd w:id="545"/>
          </w:p>
        </w:tc>
      </w:tr>
      <w:tr>
        <w:trPr/>
        <w:tc>
          <w:tcPr>
            <w:tcW w:w="416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514,337</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601,953</w:t>
            </w:r>
          </w:p>
        </w:tc>
        <w:tc>
          <w:tcPr>
            <w:tcW w:w="110" w:type="dxa"/>
            <w:tcBorders/>
            <w:shd w:fill="FFFFFF" w:val="clear"/>
            <w:vAlign w:val="center"/>
          </w:tcPr>
          <w:p>
            <w:pPr>
              <w:pStyle w:val="TableContents"/>
              <w:bidi w:val="0"/>
              <w:spacing w:before="0" w:after="283"/>
              <w:jc w:val="left"/>
              <w:rPr/>
            </w:pPr>
            <w:r>
              <w:rPr/>
              <w:t> </w:t>
            </w:r>
            <w:bookmarkStart w:id="546" w:name="xdx_401_eus-gaap--ResearchAndDevelopment"/>
            <w:bookmarkEnd w:id="546"/>
          </w:p>
        </w:tc>
      </w:tr>
      <w:tr>
        <w:trPr/>
        <w:tc>
          <w:tcPr>
            <w:tcW w:w="416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47" w:name="xdx_40E_eus-gaap--ResearchAndDevelopment"/>
            <w:bookmarkEnd w:id="547"/>
          </w:p>
        </w:tc>
      </w:tr>
      <w:tr>
        <w:trPr/>
        <w:tc>
          <w:tcPr>
            <w:tcW w:w="4160" w:type="dxa"/>
            <w:tcBorders/>
            <w:shd w:fill="FFFFFF" w:val="clear"/>
            <w:vAlign w:val="center"/>
          </w:tcPr>
          <w:p>
            <w:pPr>
              <w:pStyle w:val="TableContents"/>
              <w:bidi w:val="0"/>
              <w:spacing w:before="0" w:after="283"/>
              <w:jc w:val="left"/>
              <w:rPr/>
            </w:pPr>
            <w:r>
              <w:rPr/>
              <w:t>Total Development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514,337</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601,953</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48" w:name="xdx_40D_eus-gaap--GeneralAndAdministrati"/>
            <w:bookmarkEnd w:id="548"/>
          </w:p>
        </w:tc>
      </w:tr>
      <w:tr>
        <w:trPr/>
        <w:tc>
          <w:tcPr>
            <w:tcW w:w="4160" w:type="dxa"/>
            <w:tcBorders/>
            <w:shd w:fill="CCEEFF" w:val="clear"/>
            <w:vAlign w:val="center"/>
          </w:tcPr>
          <w:p>
            <w:pPr>
              <w:pStyle w:val="TableContents"/>
              <w:bidi w:val="0"/>
              <w:spacing w:before="0" w:after="283"/>
              <w:jc w:val="left"/>
              <w:rPr/>
            </w:pPr>
            <w:r>
              <w:rPr/>
              <w:t>Gaming</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1,698,631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1,163,226</w:t>
            </w:r>
          </w:p>
        </w:tc>
        <w:tc>
          <w:tcPr>
            <w:tcW w:w="110" w:type="dxa"/>
            <w:tcBorders/>
            <w:shd w:fill="CCEEFF" w:val="clear"/>
            <w:vAlign w:val="center"/>
          </w:tcPr>
          <w:p>
            <w:pPr>
              <w:pStyle w:val="TableContents"/>
              <w:bidi w:val="0"/>
              <w:spacing w:before="0" w:after="283"/>
              <w:jc w:val="left"/>
              <w:rPr/>
            </w:pPr>
            <w:r>
              <w:rPr/>
              <w:t> </w:t>
            </w:r>
            <w:bookmarkStart w:id="549" w:name="xdx_40D_eus-gaap--GeneralAndAdministrati"/>
            <w:bookmarkEnd w:id="549"/>
          </w:p>
        </w:tc>
      </w:tr>
      <w:tr>
        <w:trPr/>
        <w:tc>
          <w:tcPr>
            <w:tcW w:w="4160" w:type="dxa"/>
            <w:tcBorders/>
            <w:shd w:fill="FFFFFF" w:val="clear"/>
            <w:vAlign w:val="center"/>
          </w:tcPr>
          <w:p>
            <w:pPr>
              <w:pStyle w:val="TableContents"/>
              <w:bidi w:val="0"/>
              <w:spacing w:before="0" w:after="283"/>
              <w:jc w:val="left"/>
              <w:rPr/>
            </w:pPr>
            <w:r>
              <w:rPr/>
              <w:t>Esports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5,256</w:t>
            </w:r>
          </w:p>
        </w:tc>
        <w:tc>
          <w:tcPr>
            <w:tcW w:w="110" w:type="dxa"/>
            <w:tcBorders/>
            <w:shd w:fill="FFFFFF" w:val="clear"/>
            <w:vAlign w:val="center"/>
          </w:tcPr>
          <w:p>
            <w:pPr>
              <w:pStyle w:val="TableContents"/>
              <w:bidi w:val="0"/>
              <w:spacing w:before="0" w:after="283"/>
              <w:jc w:val="left"/>
              <w:rPr/>
            </w:pPr>
            <w:r>
              <w:rPr/>
              <w:t> </w:t>
            </w:r>
            <w:bookmarkStart w:id="550" w:name="xdx_403_eus-gaap--GeneralAndAdministrati"/>
            <w:bookmarkEnd w:id="550"/>
          </w:p>
        </w:tc>
      </w:tr>
      <w:tr>
        <w:trPr/>
        <w:tc>
          <w:tcPr>
            <w:tcW w:w="416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1,698,631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1,168,482</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1" w:name="xdx_40E_eus-gaap--ImpairmentOfIntangible"/>
            <w:bookmarkEnd w:id="551"/>
          </w:p>
        </w:tc>
      </w:tr>
      <w:tr>
        <w:trPr/>
        <w:tc>
          <w:tcPr>
            <w:tcW w:w="416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27,928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52" w:name="xdx_40F_eus-gaap--ImpairmentOfIntangible"/>
            <w:bookmarkEnd w:id="552"/>
          </w:p>
        </w:tc>
      </w:tr>
      <w:tr>
        <w:trPr/>
        <w:tc>
          <w:tcPr>
            <w:tcW w:w="416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53" w:name="xdx_40B_eus-gaap--ImpairmentOfIntangible"/>
            <w:bookmarkEnd w:id="553"/>
          </w:p>
        </w:tc>
      </w:tr>
      <w:tr>
        <w:trPr/>
        <w:tc>
          <w:tcPr>
            <w:tcW w:w="4160" w:type="dxa"/>
            <w:tcBorders/>
            <w:shd w:fill="FFFFFF" w:val="clear"/>
            <w:vAlign w:val="center"/>
          </w:tcPr>
          <w:p>
            <w:pPr>
              <w:pStyle w:val="TableContents"/>
              <w:bidi w:val="0"/>
              <w:spacing w:before="0" w:after="283"/>
              <w:jc w:val="left"/>
              <w:rPr/>
            </w:pPr>
            <w:r>
              <w:rPr/>
              <w:t>Total Impairment of Intangible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27,928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4" w:name="xdx_40C_eus-gaap--DepreciationAndAmortiz"/>
            <w:bookmarkEnd w:id="554"/>
          </w:p>
        </w:tc>
      </w:tr>
      <w:tr>
        <w:trPr/>
        <w:tc>
          <w:tcPr>
            <w:tcW w:w="4160" w:type="dxa"/>
            <w:tcBorders/>
            <w:shd w:fill="CCEEFF" w:val="clear"/>
            <w:vAlign w:val="center"/>
          </w:tcPr>
          <w:p>
            <w:pPr>
              <w:pStyle w:val="TableContents"/>
              <w:bidi w:val="0"/>
              <w:spacing w:before="0" w:after="283"/>
              <w:jc w:val="left"/>
              <w:rPr/>
            </w:pPr>
            <w:r>
              <w:rPr/>
              <w:t>Gaming</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4,213</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689" w:type="dxa"/>
            <w:tcBorders/>
            <w:shd w:fill="CCEEFF" w:val="clear"/>
            <w:vAlign w:val="center"/>
          </w:tcPr>
          <w:p>
            <w:pPr>
              <w:pStyle w:val="TableContents"/>
              <w:bidi w:val="0"/>
              <w:spacing w:before="0" w:after="283"/>
              <w:jc w:val="right"/>
              <w:rPr/>
            </w:pPr>
            <w:r>
              <w:rPr/>
              <w:t>11,951</w:t>
            </w:r>
          </w:p>
        </w:tc>
        <w:tc>
          <w:tcPr>
            <w:tcW w:w="110" w:type="dxa"/>
            <w:tcBorders/>
            <w:shd w:fill="CCEEFF" w:val="clear"/>
            <w:vAlign w:val="center"/>
          </w:tcPr>
          <w:p>
            <w:pPr>
              <w:pStyle w:val="TableContents"/>
              <w:bidi w:val="0"/>
              <w:spacing w:before="0" w:after="283"/>
              <w:jc w:val="left"/>
              <w:rPr/>
            </w:pPr>
            <w:r>
              <w:rPr/>
              <w:t> </w:t>
            </w:r>
            <w:bookmarkStart w:id="555" w:name="xdx_401_eus-gaap--DepreciationAndAmortiz"/>
            <w:bookmarkEnd w:id="555"/>
          </w:p>
        </w:tc>
      </w:tr>
      <w:tr>
        <w:trPr/>
        <w:tc>
          <w:tcPr>
            <w:tcW w:w="4160" w:type="dxa"/>
            <w:tcBorders/>
            <w:shd w:fill="FFFFFF" w:val="clear"/>
            <w:vAlign w:val="center"/>
          </w:tcPr>
          <w:p>
            <w:pPr>
              <w:pStyle w:val="TableContents"/>
              <w:bidi w:val="0"/>
              <w:spacing w:before="0" w:after="283"/>
              <w:jc w:val="left"/>
              <w:rPr/>
            </w:pPr>
            <w:r>
              <w:rPr/>
              <w:t>Esports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2,303</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6,175</w:t>
            </w:r>
          </w:p>
        </w:tc>
        <w:tc>
          <w:tcPr>
            <w:tcW w:w="110" w:type="dxa"/>
            <w:tcBorders/>
            <w:shd w:fill="FFFFFF" w:val="clear"/>
            <w:vAlign w:val="center"/>
          </w:tcPr>
          <w:p>
            <w:pPr>
              <w:pStyle w:val="TableContents"/>
              <w:bidi w:val="0"/>
              <w:spacing w:before="0" w:after="283"/>
              <w:jc w:val="left"/>
              <w:rPr/>
            </w:pPr>
            <w:r>
              <w:rPr/>
              <w:t> </w:t>
            </w:r>
            <w:bookmarkStart w:id="556" w:name="xdx_40A_eus-gaap--DepreciationAndAmortiz"/>
            <w:bookmarkEnd w:id="556"/>
          </w:p>
        </w:tc>
      </w:tr>
      <w:tr>
        <w:trPr/>
        <w:tc>
          <w:tcPr>
            <w:tcW w:w="4160" w:type="dxa"/>
            <w:tcBorders/>
            <w:shd w:fill="CCEEFF" w:val="clear"/>
            <w:vAlign w:val="center"/>
          </w:tcPr>
          <w:p>
            <w:pPr>
              <w:pStyle w:val="TableContents"/>
              <w:bidi w:val="0"/>
              <w:spacing w:before="0" w:after="283"/>
              <w:jc w:val="left"/>
              <w:rPr/>
            </w:pPr>
            <w:r>
              <w:rPr/>
              <w:t>Total Depreciation and Amortization</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6,516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18,126</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7" w:name="xdx_406_eus-gaap--OperatingIncomeLoss_hu"/>
            <w:bookmarkEnd w:id="557"/>
          </w:p>
        </w:tc>
      </w:tr>
      <w:tr>
        <w:trPr/>
        <w:tc>
          <w:tcPr>
            <w:tcW w:w="416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1,081,735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689" w:type="dxa"/>
            <w:tcBorders/>
            <w:shd w:fill="FFFFFF" w:val="clear"/>
            <w:vAlign w:val="center"/>
          </w:tcPr>
          <w:p>
            <w:pPr>
              <w:pStyle w:val="TableContents"/>
              <w:bidi w:val="0"/>
              <w:spacing w:before="0" w:after="283"/>
              <w:jc w:val="right"/>
              <w:rPr/>
            </w:pPr>
            <w:r>
              <w:rPr/>
              <w:t>(71,719</w:t>
            </w:r>
          </w:p>
        </w:tc>
        <w:tc>
          <w:tcPr>
            <w:tcW w:w="110" w:type="dxa"/>
            <w:tcBorders/>
            <w:shd w:fill="FFFFFF" w:val="clear"/>
            <w:vAlign w:val="center"/>
          </w:tcPr>
          <w:p>
            <w:pPr>
              <w:pStyle w:val="TableContents"/>
              <w:bidi w:val="0"/>
              <w:spacing w:before="0" w:after="283"/>
              <w:jc w:val="left"/>
              <w:rPr/>
            </w:pPr>
            <w:r>
              <w:rPr/>
              <w:t>)</w:t>
            </w:r>
            <w:bookmarkStart w:id="558" w:name="xdx_403_eus-gaap--OperatingIncomeLoss_hu"/>
            <w:bookmarkEnd w:id="558"/>
          </w:p>
        </w:tc>
      </w:tr>
      <w:tr>
        <w:trPr/>
        <w:tc>
          <w:tcPr>
            <w:tcW w:w="416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(25,314</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(21,476</w:t>
            </w:r>
          </w:p>
        </w:tc>
        <w:tc>
          <w:tcPr>
            <w:tcW w:w="110" w:type="dxa"/>
            <w:tcBorders/>
            <w:shd w:fill="CCEEFF" w:val="clear"/>
            <w:vAlign w:val="center"/>
          </w:tcPr>
          <w:p>
            <w:pPr>
              <w:pStyle w:val="TableContents"/>
              <w:bidi w:val="0"/>
              <w:spacing w:before="0" w:after="283"/>
              <w:jc w:val="left"/>
              <w:rPr/>
            </w:pPr>
            <w:r>
              <w:rPr/>
              <w:t>)</w:t>
            </w:r>
            <w:bookmarkStart w:id="559" w:name="xdx_404_eus-gaap--OperatingIncomeLoss_zk"/>
            <w:bookmarkEnd w:id="559"/>
          </w:p>
        </w:tc>
      </w:tr>
      <w:tr>
        <w:trPr/>
        <w:tc>
          <w:tcPr>
            <w:tcW w:w="4160" w:type="dxa"/>
            <w:tcBorders/>
            <w:shd w:fill="FFFFFF" w:val="clear"/>
            <w:vAlign w:val="center"/>
          </w:tcPr>
          <w:p>
            <w:pPr>
              <w:pStyle w:val="TableContents"/>
              <w:bidi w:val="0"/>
              <w:spacing w:before="0" w:after="283"/>
              <w:jc w:val="left"/>
              <w:rPr/>
            </w:pPr>
            <w:r>
              <w:rPr/>
              <w:t>Total Income (Loss) From Operations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1,056,421</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(93,195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5083" w:type="dxa"/>
        <w:jc w:val="left"/>
        <w:tblInd w:w="0" w:type="dxa"/>
        <w:tblLayout w:type="fixed"/>
        <w:tblCellMar>
          <w:top w:w="0" w:type="dxa"/>
          <w:left w:w="0" w:type="dxa"/>
          <w:bottom w:w="0" w:type="dxa"/>
          <w:right w:w="0" w:type="dxa"/>
        </w:tblCellMar>
      </w:tblPr>
      <w:tblGrid>
        <w:gridCol w:w="1265"/>
        <w:gridCol w:w="60"/>
        <w:gridCol w:w="181"/>
        <w:gridCol w:w="1428"/>
        <w:gridCol w:w="60"/>
        <w:gridCol w:w="60"/>
        <w:gridCol w:w="220"/>
        <w:gridCol w:w="1734"/>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0" w:name="xdx_491_20260331_zAR4Uf4Ou2n1"/>
            <w:bookmarkEnd w:id="56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1" w:name="xdx_495_20251231_zJtFtRTzMAla"/>
            <w:bookmarkEnd w:id="56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62" w:name="xdx_40E_eus-gaap--Assets_iI_hus-gaap--St"/>
            <w:bookmarkEnd w:id="562"/>
          </w:p>
        </w:tc>
      </w:tr>
      <w:tr>
        <w:trPr/>
        <w:tc>
          <w:tcPr>
            <w:tcW w:w="1265"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12,372,640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734" w:type="dxa"/>
            <w:tcBorders/>
            <w:shd w:fill="FFFFFF" w:val="clear"/>
            <w:vAlign w:val="center"/>
          </w:tcPr>
          <w:p>
            <w:pPr>
              <w:pStyle w:val="TableContents"/>
              <w:bidi w:val="0"/>
              <w:spacing w:before="0" w:after="283"/>
              <w:jc w:val="right"/>
              <w:rPr/>
            </w:pPr>
            <w:r>
              <w:rPr/>
              <w:t>10,424,054</w:t>
            </w:r>
          </w:p>
        </w:tc>
        <w:tc>
          <w:tcPr>
            <w:tcW w:w="75" w:type="dxa"/>
            <w:tcBorders/>
            <w:shd w:fill="FFFFFF" w:val="clear"/>
            <w:vAlign w:val="center"/>
          </w:tcPr>
          <w:p>
            <w:pPr>
              <w:pStyle w:val="TableContents"/>
              <w:bidi w:val="0"/>
              <w:spacing w:before="0" w:after="283"/>
              <w:jc w:val="left"/>
              <w:rPr/>
            </w:pPr>
            <w:r>
              <w:rPr/>
              <w:t> </w:t>
            </w:r>
            <w:bookmarkStart w:id="563" w:name="xdx_401_eus-gaap--Assets_iI_hus-gaap--St"/>
            <w:bookmarkEnd w:id="563"/>
          </w:p>
        </w:tc>
      </w:tr>
      <w:tr>
        <w:trPr/>
        <w:tc>
          <w:tcPr>
            <w:tcW w:w="1265"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pPr>
            <w:r>
              <w:rPr/>
              <w:t>1,507,401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1,544,012</w:t>
            </w:r>
          </w:p>
        </w:tc>
        <w:tc>
          <w:tcPr>
            <w:tcW w:w="75" w:type="dxa"/>
            <w:tcBorders/>
            <w:shd w:fill="CCEEFF" w:val="clear"/>
            <w:vAlign w:val="center"/>
          </w:tcPr>
          <w:p>
            <w:pPr>
              <w:pStyle w:val="TableContents"/>
              <w:bidi w:val="0"/>
              <w:spacing w:before="0" w:after="283"/>
              <w:jc w:val="left"/>
              <w:rPr/>
            </w:pPr>
            <w:r>
              <w:rPr/>
              <w:t> </w:t>
            </w:r>
            <w:bookmarkStart w:id="564" w:name="xdx_400_eus-gaap--Assets_iI_zS0PBFNZoP04"/>
            <w:bookmarkEnd w:id="564"/>
          </w:p>
        </w:tc>
      </w:tr>
      <w:tr>
        <w:trPr/>
        <w:tc>
          <w:tcPr>
            <w:tcW w:w="126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13,880,041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11,968,066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5" w:name="xdx_8AA_zO1zItUG8SDh"/>
      <w:bookmarkEnd w:id="56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6" w:name="xdx_80C_eus-gaap--SubsequentEventsTextBl"/>
      <w:bookmarkEnd w:id="566"/>
      <w:r>
        <w:rPr>
          <w:rFonts w:ascii="Times New Roman;Times;Serif" w:hAnsi="Times New Roman;Times;Serif"/>
          <w:b/>
          <w:i w:val="false"/>
          <w:caps w:val="false"/>
          <w:smallCaps w:val="false"/>
          <w:sz w:val="20"/>
        </w:rPr>
        <w:t xml:space="preserve">NOTE 12 - </w:t>
      </w:r>
      <w:bookmarkStart w:id="567" w:name="xdx_825_zjY5DJIszaJ8"/>
      <w:bookmarkEnd w:id="56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subsequent events and transactions that occur after the balance sheet date up to the date that the unaudited condensed consolidated financial statements were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the Company entered into a Share Repurchase Agreement (the “Agreement”) with Driven Lifestyle, pursuant to which the Company purchased </w:t>
      </w:r>
      <w:bookmarkStart w:id="568" w:name="xdx_906_eus-gaap--StockIssuedDuringPerio"/>
      <w:bookmarkEnd w:id="568"/>
      <w:r>
        <w:rPr>
          <w:rFonts w:ascii="Times New Roman;Times;Serif" w:hAnsi="Times New Roman;Times;Serif"/>
          <w:b w:val="false"/>
          <w:i w:val="false"/>
          <w:caps w:val="false"/>
          <w:smallCaps w:val="false"/>
          <w:sz w:val="20"/>
        </w:rPr>
        <w:t>904,395 shares of the Company’s Class A Common Stock held by Driven Lifestyle. The Agreement provides for the Shares to be purchased at a price of $</w:t>
      </w:r>
      <w:bookmarkStart w:id="569" w:name="xdx_909_eus-gaap--SharesIssuedPricePerSh"/>
      <w:bookmarkEnd w:id="569"/>
      <w:r>
        <w:rPr>
          <w:rFonts w:ascii="Times New Roman;Times;Serif" w:hAnsi="Times New Roman;Times;Serif"/>
          <w:b w:val="false"/>
          <w:i w:val="false"/>
          <w:caps w:val="false"/>
          <w:smallCaps w:val="false"/>
          <w:sz w:val="20"/>
        </w:rPr>
        <w:t>4.11, which was equal to the average closing price of the Class A Common Stock as reported by the Nasdaq Capital Market for the five trading days immediately preceding the signing of the Agreement. Pursuant to this Agreement, all shares of the Company’s Class B Common were cancelled.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Driven Lifestyle approved certain amendments to the Company’s Charter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 which consent shall be reasonably satisfactory to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may be altered, amended or repealed, or new bylaws adopted, by the Board of Directors or a simple majority of all of the then outstanding shares of the capital stock of the Company entitled to vote generally in the election of directors, which consent shall be reasonably satisfactory to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by the stockholders of the Company must be effected at a duly called annual or special meeting of stockholders of the Company and may not be effected by any consent in writing by such stockholders, which consent shall be reasonably satisfactory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were amended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may be altered, amended or repealed, or new bylaws adopted, by the Board of Directors or a simple majority of all of the then outstanding shares of the Company’s capital stock entitled to vote generally in the election of directors, which consent shall be reasonably satisfactory to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be amended to provide that any action required or permitted to be taken by the Company’s stockholders must be effected at a duly called annual or special meeting of stockholders of the Company and may not be effected by any consent in writing by such stockholders.</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2026 Annual Meeting of Stockholders held on April 23, 2026 (the “Annual Meeting”), the Company’s stockholders approved, among other matters,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Class A common stock upon the exercise of the Series A Warrants, Series B Warrants and Placement Agent Warrants issued in connection with the Company’s July 26, 2024 registered direct offering. As a result of such stockholder approval, the foregoing warrants became exercisable on April 23,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amendment (the “Plan Amendment”) to the Company’s Amended and Restated 2021 Equity Incentive Plan to increase the number of shares of Class A common stock available for issuance under the plan from </w:t>
            </w:r>
            <w:bookmarkStart w:id="570" w:name="xdx_903_eus-gaap--CommonStockCapitalShar"/>
            <w:bookmarkEnd w:id="570"/>
            <w:r>
              <w:rPr>
                <w:rFonts w:ascii="Times New Roman;Times;Serif" w:hAnsi="Times New Roman;Times;Serif"/>
                <w:b w:val="false"/>
                <w:i w:val="false"/>
                <w:caps w:val="false"/>
                <w:smallCaps w:val="false"/>
                <w:sz w:val="20"/>
              </w:rPr>
              <w:t xml:space="preserve">100,000 shares to </w:t>
            </w:r>
            <w:bookmarkStart w:id="571" w:name="xdx_905_eus-gaap--CommonStockCapitalShar"/>
            <w:bookmarkEnd w:id="571"/>
            <w:r>
              <w:rPr>
                <w:rFonts w:ascii="Times New Roman;Times;Serif" w:hAnsi="Times New Roman;Times;Serif"/>
                <w:b w:val="false"/>
                <w:i w:val="false"/>
                <w:caps w:val="false"/>
                <w:smallCaps w:val="false"/>
                <w:sz w:val="20"/>
              </w:rPr>
              <w:t>600,000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2026, Citibank extended the maturity date of the Credit Agreement to </w:t>
      </w:r>
      <w:bookmarkStart w:id="572" w:name="xdx_909_eus-gaap--DebtInstrumentMaturity"/>
      <w:bookmarkEnd w:id="572"/>
      <w:r>
        <w:rPr>
          <w:rFonts w:ascii="Times New Roman;Times;Serif" w:hAnsi="Times New Roman;Times;Serif"/>
          <w:b w:val="false"/>
          <w:i w:val="false"/>
          <w:caps w:val="false"/>
          <w:smallCaps w:val="false"/>
          <w:sz w:val="20"/>
        </w:rPr>
        <w:t>February 20, 2028.</w:t>
      </w:r>
    </w:p>
    <w:p>
      <w:pPr>
        <w:pStyle w:val="TextBody"/>
        <w:bidi w:val="0"/>
        <w:spacing w:before="0" w:after="0"/>
        <w:ind w:left="0" w:right="0" w:hanging="0"/>
        <w:jc w:val="both"/>
        <w:rPr>
          <w:caps w:val="false"/>
          <w:smallCaps w:val="false"/>
        </w:rPr>
      </w:pPr>
      <w:bookmarkStart w:id="573" w:name="xdx_815_zjbF1HU0RnSl"/>
      <w:bookmarkEnd w:id="57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4" w:name="S_001"/>
      <w:bookmarkEnd w:id="57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Annual Report on Form 10-K for the year ended December 31, 2025 (the “2025 Form 10-K”) filed with the Securities and Exchange Commission (the “SEC”) on March 10, 2026 and the condensed consolidated financial statements and accompanying notes included in Part I, Item 1 of this Report. Unless the context requires otherwise, references to the “Company,” “Motorsport Games,” “we,” “us” and “our” refer to Motorsport Games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 rFactor 2 also powers F1® Arcade through a partnership with Kindred Concepts. Our purpose is to make the thrill of motorsports accessible to everyone by creating the highest quality, most sophisticated and innovative experiences for racers, gamers and fans of all ages. Our products and services target a large global motorsport audience.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publish racing video games including for personal computers (PCs) through various digital channels, including full-game and downloadable content (“DLC”). We have obtained the official licenses to develop multi-platform games for the 24 Hours of Le Mans race and the WEC. We are also striving to become a leader in organizing and facilitating esports tournaments, competitions, and events for our licensed racing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20, 2024, we released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on PC in early access.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is the official game of the WEC and 24 Hours of Le Mans, and is the first officially licensed and dedicated 24 Hours of Le Mans video game release in over twenty years. On July 22, 2025, we released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Version 1.0. This milestone marked the completion of the title’s Early Access phase and ushered in a new era of continued development and expansion for the official game of the FIA World Endurance Championship and the 24 Hours of Le 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we entered into a Share Repurchase Agreement (the “Repurchase Agreement”) with Driven Lifestyle Group LLC, a Florida limited liability company (“Driven Lifestyle”), pursuant to which we purchased 904,395 shares of our Class A common stock held by Driven Lifestyle (the “Class A Shares”). The Repurchase Agreement provided for the Shares to be purchased at a price of $4.11, which was equal to the average closing price of the Class A Common Stock as reported by the Nasdaq Capital Market for the five trading days immediately preceding the signing of the Repurchase Agreement. Pursuant to Section 1 of Article V of our Certificate of Incorporation, as amended (the “Certificate of Incorporation”), upon the repurchase of the Class A Shares, all shares of our Class B common stock held by Driven Lifestyle were cancelled.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Repurchase Agreement Driven Lifestyle executed an irrevocable written consent (the “Stockholder Consent”) in its capacity as the holder of at least two thirds of the voting power of our Class A common stock and Class B common stock, voting together as a single class, approving a Certificate of Amendment (the “Charter Amendment”) to the Certificate of Incorporation and Amendment No. 2 (the “Bylaws Amendment”) to our Bylaws, as amended (the “Bylaws”). The Charter Amendment provided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A of Article IX of the Certificate of Incorporation would be amended to provide that we reserve the right to amend, alter, change or repeal any provision contained in the Certificate of Incorporation in the manner then or thereafter prescribed in the Certificate of Incorporation, and by the laws of the State of Delaware, and all rights conferred upon stockholders in the Certificate of Incorporation, as so amended, be granted subject to this reservation;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B of Article IX of the Certificate of Incorporation would be amended to provide that the Bylaws may be altered, amended or repealed, or new bylaws adopted, by the Board of Directors or a simple majority of all of the then outstanding shares of our capital stock entitled to vote generally in the election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C of Article VII of the Certificate of Incorporation would be amended to provide that any action required or permitted to be taken by our stockholders must be effected at a duly called annual or special meeting of our stockholders and may not be effected by any consent in writing by such stockholders.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Amendment provided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of the Bylaws would be amended to provide that the Bylaws may be altered, amended or repealed, or new bylaws adopted, by the Board of Directors or a simple majority of all of the then outstanding shares of our capital stock entitled to vote generally in the election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of the Bylaws would be amended to provide that any action required or permitted to be taken by our stockholders must be effected at a duly called annual or special meeting of our stockholders and may not be effected by any consent in writing by such stockholders.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Repurchase Agreement, we filed a preliminary information statement on Schedule 14C with the SEC relating to the approval of the Charter Amendment and the Bylaws Amendment on April 23, 2026, and we filed a definitive information statement relating to such matters on May 4, 2026. Under Rule 14c-2 under the Exchange Act, the approval of the Charter Amendment and the Bylaws Amendment may not take effect before a date which is 20 calendar days after a Definitive Information Statement is first provided to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transactions contemplated in the Repurchase Agreement, Driven Lifestyle controlled more than a majority of our issued and outstanding voting shares. After such closing, Driven Lifestyle held 6.10% of the total voting power of our outstanding common stock by virtue of beneficially owning 254,453 shares, or 6.10%, of our Class A common stock and zero shares of our Class B common stock. After such closing, Sharp Arrow Global Tech Ventures L.P., which was previously our second-largest stockholder, held 32.15% of the total voting power of our outstanding common stock by virtue of beneficially owning 1,463,637 shares (including 377,836 shares underlying a pre-funded warrant currently exercisable), or 32.15%, of our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Annual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2026 Annual Meeting of Stockholders (the “Annual Meeting “), held on April 23, 2026, our stockholders approved an Amendment (the “Plan Amendment”) to our Amended and Restated 2021 Equity Incentive Plan (the “Plan”) to increase the number of shares of Class A common stock that we will have authority to grant under the plan from 100,000 to 600,000. A description of the Plan is set forth in our definitive proxy statement for the 2026 Annual Meeting, as filed with the SEC on March 16, 2026 (the “Proxy Statement”), in the section entitled “Proposal No. 2—The Incentive Plan Increase Proposal,” which is incorporated herein by reference. The description is qualified in its entirety by reference to the full text of the Plan Amendment, a copy of which is included as an exhibit to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at the Annual Meeting our stockholders approved the exercise of the Series A Warrants, the Series B Warrants, and the Placement Agent Warrants (each as defined below) issued on July 29, 2024 to purchase up to an aggregate of 949,310 shares of Class A common stock. As a result of such approval, the Series A Warrants will expire on October 23, 2031, and the Series B Warrants expire on October 25, 2027. In addition, the holders of the Series A Warrants and the Series B Warrants agreed that the repurchase of shares from Driven Lifestyle pursuant to the Repurchase Agreement would not constitute a “Fundamental Transaction” under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Release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are impacted by the timing of our product releases and the commercial success of those titles. Our recent product releases include:</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28" w:type="dxa"/>
          <w:right w:w="0" w:type="dxa"/>
        </w:tblCellMar>
      </w:tblPr>
      <w:tblGrid>
        <w:gridCol w:w="4835"/>
        <w:gridCol w:w="60"/>
        <w:gridCol w:w="3035"/>
      </w:tblGrid>
      <w:tr>
        <w:trPr/>
        <w:tc>
          <w:tcPr>
            <w:tcW w:w="4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Date and Platform</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10, 2024,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2024 DLC Pack 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Version 1.0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 Mans Ultimate – ELMS Pack 1 and Version 1.1 Release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23,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ELMS Pack 2 and Version 1.2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9, 2025, available on PC</w:t>
            </w:r>
          </w:p>
        </w:tc>
      </w:tr>
      <w:tr>
        <w:trPr/>
        <w:tc>
          <w:tcPr>
            <w:tcW w:w="4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Mans Ultimate – ELMS Pack 3 and Version 1.3 Release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available on PC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evaluate our planned product release schedule and modify the timing of upcoming products based on developments in our business, or if we believe it will result in a better consumer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associated with our Le Mans Ultimate franchise accounted for approximately 76% and 82% of our total revenue for the three months ended March 31, 2026 and 2025, respectively. We aim to explore ways to capitalize on new trends and diversify our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Players increasingly purchase our games as digital downloads, as opposed to purchasing physical discs. All of our titles that are available through retailers as packaged goods products are also available through direct digital download. For the three months ended March 31, 2026 and 2025, substantially all of our revenue from sales of video games for PCs was through digital channels, respectively. We believe this trend of increasing direct digital downloads is primarily due to benefits relating to convenience and accessibility that digital downloads provide. In addition, as part of our digital business strategy, we aim to drive ongoing engagement and incremental revenue from recurrent consumer spending on our titles through in-game purchases and extra content.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generate future revenue from organizing and facilitating esports tournaments, competitions, and events for our licensed racing games as well as on behalf of third-party racing game developers and publishers.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5 million across television (TV)/over-the-top (OTT) channels. Although we did not organize the Le Mans Virtual Series for the 2023/24, 2024/25 or 2025/26 seasons, we currently plan on organizing the 2026/27 Le Mans Virtual Series to commence this year. We also intend to continue exploring opportunities to expand our esports segment outside of Le 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Recurring Revenue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includes revenue that we deem recurring in nature, which consists primarily of revenue from our annualized video game racing franchise for PC, as well as our RaceControl subscription service. We historically have been able to forecast the revenue from this area of our business with greater relative confidence than for new games, services, and business models. As we continue to incorporate new business models and modalities of play into our games, our goal is to continue to look for opportunities to expand the recurring portion of our business, including through subscriptions. We plan to drive ongoing engagement and incremental revenue from recurrent consumer spending on our titles through in-game purchases, RaceControl subscription offerings and extra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substantially all of our revenue from sales of our games and related extra content that can be played by customers on a PC platform. Starting in 2019, we began generating sponsorship revenues from our production of live and virtual esports events; however, during 2025 and 2024 we did not generate any revenue for esports events as we did not organize any such events. In early 2022, we also began offering software development services for racing simulators and in December 2024, we started offering a subscription service via RaceControl, our matchmaking and online racing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and service offerings included within the Gaming segment primarily include PCs with both online and offline functionality, which generally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game delivered digitally at the time of sale, which also typically provides access to offline core game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updates to previously released games on a when-and-if-available basis, such as software patches or updates, and/or additional content to be delivered in the future, both paid and free;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code and content development services.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and service offerings included within the esports segment relate primarily to curating esports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our Gaming segment is primarily comprised of royalty expenses, license fees, web hosting costs and amortization of certain acquired license agreements and other intangible assets acquired through our various acquisitions and internally-developed software. Furthermore, cost of revenues for our Gaming segment includes costs associated with our outsourced code and content development services. Cost of revenues for our esports segment consists primarily of the cost of event staffing and event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are primarily composed of salaries, benefits and related taxes of our in-house marketing teams, advertising, marketing, and promotional expenses, including fees paid to social media platforms and other websites where we market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 consist of the cost to develop the games we produce, which includes salaries, benefits, and operating expenses of our in-house development teams, as well as consulting expenses for any contracted external development. Development expenses also include expenses relating to our software licenses, maintenance, and studio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include depreciation on fixed assets (primarily computers and office equipment), as well as amortization of certain definite lived intangible assets acquired through our various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 compared to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references to 2026 refer to the three months ended March 31, 2026 and references to 2025 refer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ind w:left="0" w:right="0" w:hanging="0"/>
        <w:jc w:val="both"/>
        <w:rPr>
          <w:caps w:val="false"/>
          <w:smallCaps w:val="false"/>
        </w:rPr>
      </w:pPr>
      <w:r>
        <w:rPr>
          <w:caps w:val="false"/>
          <w:smallCaps w:val="false"/>
        </w:rPr>
        <w:t> </w:t>
      </w:r>
    </w:p>
    <w:tbl>
      <w:tblPr>
        <w:tblW w:w="6284" w:type="dxa"/>
        <w:jc w:val="left"/>
        <w:tblInd w:w="0" w:type="dxa"/>
        <w:tblLayout w:type="fixed"/>
        <w:tblCellMar>
          <w:top w:w="0" w:type="dxa"/>
          <w:left w:w="0" w:type="dxa"/>
          <w:bottom w:w="0" w:type="dxa"/>
          <w:right w:w="0" w:type="dxa"/>
        </w:tblCellMar>
      </w:tblPr>
      <w:tblGrid>
        <w:gridCol w:w="1520"/>
        <w:gridCol w:w="60"/>
        <w:gridCol w:w="148"/>
        <w:gridCol w:w="1036"/>
        <w:gridCol w:w="63"/>
        <w:gridCol w:w="63"/>
        <w:gridCol w:w="148"/>
        <w:gridCol w:w="1036"/>
        <w:gridCol w:w="60"/>
        <w:gridCol w:w="60"/>
        <w:gridCol w:w="140"/>
        <w:gridCol w:w="980"/>
        <w:gridCol w:w="60"/>
        <w:gridCol w:w="60"/>
        <w:gridCol w:w="60"/>
        <w:gridCol w:w="560"/>
        <w:gridCol w:w="230"/>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184" w:type="dxa"/>
            <w:gridSpan w:val="2"/>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8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gridSpan w:val="2"/>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4,031,289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1,758,453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2,272,836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129.3</w:t>
            </w:r>
          </w:p>
        </w:tc>
        <w:tc>
          <w:tcPr>
            <w:tcW w:w="23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4,031,289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1,758,453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2,272,836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129.3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revenues were $4.0 million and $1.8 million for 2026 and 2025, respectively, an increase of $2.3 million, or 129.3%, when compared to the prior period. The increase in Gaming segment revenues was primarily due to a $1.6 million increase in sales of Le Mans Ultimate, which was mainly driven by a $1.9 million increase in downloadable content revenues offset by a $0.3 million decrease in base game sales, as well as a $0.7 million increase in RaceControl subscriptions,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organize a Le Mans Virtual Series (“LMVS”) event in 2026 or 2025, resulting in no earned sponsorship or events revenue in 2026 and 2025 in our Esports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bidi w:val="0"/>
        <w:spacing w:before="0" w:after="0"/>
        <w:ind w:left="0" w:right="0" w:hanging="0"/>
        <w:jc w:val="both"/>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2270"/>
        <w:gridCol w:w="60"/>
        <w:gridCol w:w="171"/>
        <w:gridCol w:w="980"/>
        <w:gridCol w:w="73"/>
        <w:gridCol w:w="73"/>
        <w:gridCol w:w="171"/>
        <w:gridCol w:w="980"/>
        <w:gridCol w:w="60"/>
        <w:gridCol w:w="60"/>
        <w:gridCol w:w="140"/>
        <w:gridCol w:w="680"/>
        <w:gridCol w:w="60"/>
        <w:gridCol w:w="60"/>
        <w:gridCol w:w="60"/>
        <w:gridCol w:w="440"/>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151" w:type="dxa"/>
            <w:gridSpan w:val="2"/>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51"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494,125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446,941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47,184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10.6</w:t>
            </w:r>
          </w:p>
        </w:tc>
        <w:tc>
          <w:tcPr>
            <w:tcW w:w="23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23,012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24.8</w:t>
            </w:r>
          </w:p>
        </w:tc>
        <w:tc>
          <w:tcPr>
            <w:tcW w:w="230"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517,137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465,386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51,751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pPr>
            <w:r>
              <w:rPr/>
              <w:t>11.1</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cost of revenues was $0.5 million for 2026 and 2025, respectively, which primarily consists of amortization and royalty expenses in both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ind w:left="0" w:right="0" w:hanging="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2390"/>
        <w:gridCol w:w="60"/>
        <w:gridCol w:w="143"/>
        <w:gridCol w:w="1002"/>
        <w:gridCol w:w="97"/>
        <w:gridCol w:w="61"/>
        <w:gridCol w:w="143"/>
        <w:gridCol w:w="1002"/>
        <w:gridCol w:w="95"/>
        <w:gridCol w:w="60"/>
        <w:gridCol w:w="140"/>
        <w:gridCol w:w="980"/>
        <w:gridCol w:w="95"/>
        <w:gridCol w:w="60"/>
        <w:gridCol w:w="60"/>
        <w:gridCol w:w="620"/>
        <w:gridCol w:w="23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Gaming</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2" w:type="dxa"/>
            <w:tcBorders/>
            <w:shd w:fill="FFFFFF" w:val="clear"/>
            <w:vAlign w:val="center"/>
          </w:tcPr>
          <w:p>
            <w:pPr>
              <w:pStyle w:val="TableContents"/>
              <w:bidi w:val="0"/>
              <w:spacing w:before="0" w:after="283"/>
              <w:jc w:val="right"/>
              <w:rPr/>
            </w:pPr>
            <w:r>
              <w:rPr/>
              <w:t>3,537,164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2" w:type="dxa"/>
            <w:tcBorders/>
            <w:shd w:fill="FFFFFF" w:val="clear"/>
            <w:vAlign w:val="center"/>
          </w:tcPr>
          <w:p>
            <w:pPr>
              <w:pStyle w:val="TableContents"/>
              <w:bidi w:val="0"/>
              <w:spacing w:before="0" w:after="283"/>
              <w:jc w:val="right"/>
              <w:rPr/>
            </w:pPr>
            <w:r>
              <w:rPr/>
              <w:t>1,311,512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2,225,652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 xml:space="preserve">169.7 </w:t>
            </w:r>
          </w:p>
        </w:tc>
        <w:tc>
          <w:tcPr>
            <w:tcW w:w="23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left"/>
              <w:rPr/>
            </w:pPr>
            <w:r>
              <w:rPr/>
              <w:t>Esports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(23,012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(18,445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pPr>
            <w:r>
              <w:rPr/>
              <w:t>24.8</w:t>
            </w:r>
          </w:p>
        </w:tc>
        <w:tc>
          <w:tcPr>
            <w:tcW w:w="230" w:type="dxa"/>
            <w:tcBorders/>
            <w:shd w:fill="CCEEFF" w:val="clear"/>
            <w:vAlign w:val="center"/>
          </w:tcPr>
          <w:p>
            <w:pPr>
              <w:pStyle w:val="TableContents"/>
              <w:bidi w:val="0"/>
              <w:spacing w:before="0" w:after="283"/>
              <w:jc w:val="left"/>
              <w:rPr/>
            </w:pPr>
            <w:r>
              <w:rPr/>
              <w:t>%</w:t>
            </w:r>
          </w:p>
        </w:tc>
      </w:tr>
      <w:tr>
        <w:trPr/>
        <w:tc>
          <w:tcPr>
            <w:tcW w:w="2390" w:type="dxa"/>
            <w:tcBorders/>
            <w:shd w:fill="FFFFFF" w:val="clear"/>
            <w:vAlign w:val="center"/>
          </w:tcPr>
          <w:p>
            <w:pPr>
              <w:pStyle w:val="TableContents"/>
              <w:bidi w:val="0"/>
              <w:spacing w:before="0" w:after="283"/>
              <w:jc w:val="left"/>
              <w:rPr/>
            </w:pPr>
            <w:r>
              <w:rPr/>
              <w:t>Total Gross Profit (Loss)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3,514,152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1,293,067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2,221,085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pPr>
            <w:r>
              <w:rPr/>
              <w:t>171.8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15"/>
        <w:gridCol w:w="845"/>
        <w:gridCol w:w="413"/>
        <w:gridCol w:w="115"/>
        <w:gridCol w:w="115"/>
        <w:gridCol w:w="845"/>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1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Gaming - Gross Profit Margin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87.7</w:t>
            </w:r>
          </w:p>
        </w:tc>
        <w:tc>
          <w:tcPr>
            <w:tcW w:w="413"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74.6</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Esports - Gross Profit Margin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NM</w:t>
            </w:r>
          </w:p>
        </w:tc>
        <w:tc>
          <w:tcPr>
            <w:tcW w:w="41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NM</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Gross Profit Margin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87.2</w:t>
            </w:r>
          </w:p>
        </w:tc>
        <w:tc>
          <w:tcPr>
            <w:tcW w:w="413"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73.5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was $3.5 million and $1.3 million for 2026 and 2025, respectively, an increase of $2.2 million, or 171.8%, when compared to the prior period. Gross profit margin was 87.2% in 2026, compared to 73.5% in 2025. The increase in our Gaming segment gross profit of $2.2 million, and an increase in gross profit margin, was primarily due to higher revenues and a reduction in amortization,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explained above, we did not organize a LMVS event in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2960"/>
        <w:gridCol w:w="60"/>
        <w:gridCol w:w="145"/>
        <w:gridCol w:w="1017"/>
        <w:gridCol w:w="62"/>
        <w:gridCol w:w="62"/>
        <w:gridCol w:w="145"/>
        <w:gridCol w:w="1017"/>
        <w:gridCol w:w="60"/>
        <w:gridCol w:w="60"/>
        <w:gridCol w:w="140"/>
        <w:gridCol w:w="800"/>
        <w:gridCol w:w="95"/>
        <w:gridCol w:w="60"/>
        <w:gridCol w:w="60"/>
        <w:gridCol w:w="560"/>
        <w:gridCol w:w="30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7" w:type="dxa"/>
            <w:tcBorders/>
            <w:shd w:fill="FFFFFF" w:val="clear"/>
            <w:vAlign w:val="center"/>
          </w:tcPr>
          <w:p>
            <w:pPr>
              <w:pStyle w:val="TableContents"/>
              <w:bidi w:val="0"/>
              <w:spacing w:before="0" w:after="283"/>
              <w:jc w:val="right"/>
              <w:rPr/>
            </w:pPr>
            <w:r>
              <w:rPr/>
              <w:t>210,319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7" w:type="dxa"/>
            <w:tcBorders/>
            <w:shd w:fill="FFFFFF" w:val="clear"/>
            <w:vAlign w:val="center"/>
          </w:tcPr>
          <w:p>
            <w:pPr>
              <w:pStyle w:val="TableContents"/>
              <w:bidi w:val="0"/>
              <w:spacing w:before="0" w:after="283"/>
              <w:jc w:val="right"/>
              <w:rPr/>
            </w:pPr>
            <w:r>
              <w:rPr/>
              <w:t>97,701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112,618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115.3</w:t>
            </w:r>
          </w:p>
        </w:tc>
        <w:tc>
          <w:tcPr>
            <w:tcW w:w="305"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Development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514,337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601,953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(14.6</w:t>
            </w:r>
          </w:p>
        </w:tc>
        <w:tc>
          <w:tcPr>
            <w:tcW w:w="305"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1,698,631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1,168,482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530,149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45.4</w:t>
            </w:r>
          </w:p>
        </w:tc>
        <w:tc>
          <w:tcPr>
            <w:tcW w:w="305"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27,928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6,516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18,126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(11,610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(64.1</w:t>
            </w:r>
          </w:p>
        </w:tc>
        <w:tc>
          <w:tcPr>
            <w:tcW w:w="305"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2,457,731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1,886,262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571,469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expenses are explained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$0.2 million and $0.1 million for 2026 and 2025, respectively, representing a $0.1 million, or 115.3%, increase when compared to the prior period. The increase in sales and marketing expenses was primarily driven by a $0.1 million increase in payroll and employee-related expenses when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 were $0.5 million and $0.6 million for 2026 and 2025, respectively, representing a $0.1 million, or 14.6%, decrease when compared to the prior period. The reduction in development expenses was primarily driven by a $0.1 million decrease in external development costs when compared to the prior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were $1.7 million and $1.2 million for 2026 and 2025, respectively, an increase of $0.5 million, or 45.4%, when compared to the prior period. The increase in G&amp;A expenses was primarily driven by a $0.4 million increase in stock-based compensation and a $0.1 million increase in payroll,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 of $28,000 in 2026 relates to the impairment of a domain name no longer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for 2026 and 2025 presented no significant changes to the depreciation of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of $0.5 million in 2025 represents the amount to be reimbursed to us for legal fees pursuant to the Innovate Settlement Agreement entered on March 27,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approximately $3,000 and $13,000 for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$0.1 million for 2026, compared to other income, net of $1.1 million for 2025, a decrease of $1.2 million compared to the prior period. Other expense, net of $0.1 million for 2026 was primarily comprised of foreign currency losses arising from remeasuring transactions denominated in a currency other than U.S. Dollars. Other income, net of $1.1 million for 2025 was primarily comprised of $0.9 million in foreign currency gains arising from remeasuring transactions denominated in a currency other than U.S. Dollars and a $0.2 million gain from the Settlement Agreement entered into with Luminis on February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gain was less than $0.1 million for 2026, compared to other comprehensive loss of $0.8 million for 2025. The $0.9 million decrease in other comprehensive loss was primarily due to activity in our U.K. and Netherlands subsidiaries, and represents unrealized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(Loss) Attributable to 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 was approximately $0.6 million and ($18,000) for 2026 and 2025, respectively, and is attributed to the Le Mans Esports Series Ltd joint venture. Under the terms of this joint venture, we agreed to fund up to €8,000,000 (approximately $9,175,000 as of March 31, 2026) as needed for development of video game products, which was fully funded as of March 31, 2026. We have recouped our investment and are now allocating the distribution of profits to the joint venture licensor, pursuant to the terms of the Le Mans Esports Series Ltd joint venture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our IPO in 2021, we have financed our operations primarily through cash generated from operations, advances from Driven Lifestyle pursuant to the $12 million Line of Credit and sales of our equity securities. We have entered into a line of credit with Citibank N.A. that will provide us with up to an additional $3 million provided we meet the requirements for use of the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our liquidity in a number of ways, including the following:</w:t>
      </w:r>
    </w:p>
    <w:p>
      <w:pPr>
        <w:pStyle w:val="TextBody"/>
        <w:bidi w:val="0"/>
        <w:spacing w:before="0" w:after="0"/>
        <w:ind w:left="0" w:right="0" w:hanging="0"/>
        <w:jc w:val="both"/>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2525"/>
        <w:gridCol w:w="60"/>
        <w:gridCol w:w="201"/>
        <w:gridCol w:w="1408"/>
        <w:gridCol w:w="60"/>
        <w:gridCol w:w="60"/>
        <w:gridCol w:w="244"/>
        <w:gridCol w:w="171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5,859,299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4,993,390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408" w:type="dxa"/>
            <w:tcBorders/>
            <w:shd w:fill="FFFFFF" w:val="clear"/>
            <w:vAlign w:val="center"/>
          </w:tcPr>
          <w:p>
            <w:pPr>
              <w:pStyle w:val="TableContents"/>
              <w:bidi w:val="0"/>
              <w:spacing w:before="0" w:after="283"/>
              <w:jc w:val="right"/>
              <w:rPr/>
            </w:pPr>
            <w:r>
              <w:rPr/>
              <w:t>5,155,526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4,221,682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generated net income of $1.0 million and positive cash flows from operations of approximately $1.6 million. As of March 31, 2026, we had an accumulated deficit of $84.5 million and cash and cash equivalents of $5.9 million, which decreased to $3.8 million as of April 2026, due to the Company’s repurchase of its shares from Driven Lifestyle Group LLC on April 22, 2026, partially offset by a $1.2 million drawdown from the Credit Agreement (as defined below) with Citibank (as defined below) and cash inflows from operations. In May 2026, Citibank extended the maturity date of the Citibank Promissory Note (as defined below) to February 20, 2028. We expect that our cash on hand and cash to be generated from operations will fund our operations for at least one year from the date the consolidated financial statements are issued. Our future liquidity and capital requirements include funds to support the planned costs to operate our business, including amounts required to fund working capital, support the development and introduction of new products and maintain existing titles, and certain capital expenditures.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primarily through revenue generated from operations, loans and sales of our securities, and we expect to continue to seek and obtain additional capital in a similar manner. There can be no assurance that we will be able to raise funds by selling additional securities, which sales, if successful, could dilute the ownership interest of our existing shareholders. The issuance of debt can result in restrictive covenants that limit operations. If funding is not available or not available at terms acceptable to us, we will seek to further reduce overhead costs and our cash obligations in the short term, as needed. In addition, we may look to divest or bring in equity partners for our various divisions and bring in near term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three months ended March 31, 2026 and 2025 was $1.6 million and $0.4 million, respectively. Net cash provided by operating activities for the three months ended March 31, 2026 was primarily a result of cash from net income of $1.0 million, adjusted for net non-cash adjustments of $0.6 million and $0.1 million of cash from changes in the levels of operating assets and liabilities. Net cash provided by operating activities for the three months ended March 31, 2025 was primarily a result of cash from net income of $1.0 million, reduced by net non-cash adjustments of $0.9 million and supplemented by $0.3 million of cash from changes in the levels of operating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three months ended March 31, 2026 and 2025 was approximately $0.7 million and $0, respectively. The net cash used in investing activities during the three months ended March 31, 2026 primarily relates to capitalization of internally-developed software. Development expenses in 2025 were charged to expense because technological feasibility was not reached. Once technological feasibility was reached, relevant development costs were capitalized and amortized to cost of revenue over the estimated lives of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three months ended March 31, 2026 and 2025 was $0.1 million and $0.2 million, respectively. Cash flows used in financing activities for the three months ended March 31, 2026 was due to payment on notes payable. Cash flows used in financing activities for the three months ended March 31, 2025 were due to payment on notes payable and repayment of purchase commitment liabilities,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CitiBank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we entered into a business loan agreement (the “Credit Agreement”) with Citibank, N.A. (“Citibank”), pursuant to which Citibank provided us with a revolving line of credit of up to $3.0 million at an interest rate equal to the Adjusted Term SOFR (as defined in the Credit Agreement) plus 2.250%, subject to increase upon an event of default. The Adjusted Term SOFR has a floor of 0.75%. The revolving line of credit is evidenced by a promissory note (the “Citibank Promissory Note”) that we issued to Citibank in the principal amount of up to $3.0 million. The Citibank Promissory Note has a stated maturity date of February 20, 2027. We also entered into a commercial security agreement pursuant to which we granted Citibank a lien on substantially all of our assets. The Credit Agreement includes certain affirmative covenants related to conducting our business and maintaining certain levels of cash flow and fixed charges, including a requirement to maintain a Fixed Charge Coverage Ratio (as defined in the Credit Agreement) in excess of 1.200 to 1.000 and a Cash Flow Leverage Ratio (as such term is defined in the Credit Agreement) not in excess of 2.500 to 1.000. The Credit Agreement also contains negative covenants including prohibitions on the creation or existence of any liens or security interests on our assets. The Credit Agreement also contains events of default, including failure to make payments under the Note or any related documents, failure to comply with covenants, obligations or conditions contained in the Note or any related document, defaults under other loans, extension of credit or security agreement and any change in our ownership of twenty five percent (25%) or more of our common stock. The occurrence of an event of default can result in the exercise of remedies including an increase in the applicable rate of interest by 3.00% and declaration that all outstanding amounts owed under the Citibank Promissory Note immediately become due and payable. As of March 31, 2026, the balance due to Citibank under the Credit Agreement was $0. As of March 31, 2026, the Company was in compliance with all covenants related to the Credit Agreement. In May 2026, Citibank extended the maturity date of the Citibank Promissory Note to February 20,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Financing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we completed a registered direct offering and a concurrent private placement (the “July 2024 Offerings”) with certain investors, which raised approximately $1.0 million in gross proceeds (the “$1.0 million RDO”) before deducting $0.1 million in placement agent’s fees and other offering expenses. In connection with the $1.0 million RDO, we issued Series A warrants (the “Series A Warrants”) to purchase up to 460,830 shares of Class A common stock and Series B warrants (the “Series B Warrants,” and collectively with the Series A Warrants, the “Purchase Warrants”) to purchase up to 460,830 shares of Class A common stock. The Series A Warrants and the Series B Warrants both have an exercise price of $2.17 per share. The shares of Class A common stock issuable upon the exercise of the Purchase Warrants are collectively referred to as the “Warrant Shares.” The Purchase Warrants will become exercisable on the effective date of the stockholder approval for the issuance of the shares of Class A common stock issuable upon exercise of the Purchase Warrants (the “Stockholder Approval Date”). The Series A Warrants will expire five and one-half years following the Stockholder Approval Date and the Series B Warrants will expire 18 months following the Stockholder Approval Date. H.C. Wainwright &amp; Co., LLC (“HCW”) acted as the exclusive placement agent for the July 2024 Offerings, and we issued to its designees warrants to purchase up to 27,650 shares of Class A common stock (the “Placement Agent Warrants”) as compensation. As of the date of the filing of this Quarterly Report on Form 10-Q for March 31, 2026, the exercise of the Purchase Warrants and Placement Agent Warrants had not been approved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Warrants and Placement Agent Warrants became exercisable on April 23, 2026, following their approval by stockholders at our 2026 Annual Meeting. The Series A Warrants will expire on October 23, 2031, and the Series B Warrants expire on October 25,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we entered into securities purchase agreements (the “April Purchase Agreements”) with several institutional and accredited investors for the issuance and sale in a private placement (the “April Private Placement”) of the following securities for gross proceeds of approximately $2.5 million: (i) 1,894,892 shares of our Class A common stock and (ii) a pre-funded warrant (the “April Pre-Funded Warrant”) to purchase up to 377,836 shares of our Class A common stock at an exercise price of $0.0001 per share. The purchase price for one share of Class A common stock was $1.10 and the purchase price for one pre-funded warrant was $1.0999 per share. We received net proceeds of approximately $2.35 million from the April Private Placement, after deducting offering expenses paid by us. The April Pre-Funded Warrant became exercisable commencing on May 29, 2025, and will not expire until exercised in full. The April Purchase Agreements provide that the purchasers had the right to participate in certain subsequent financings in an amount equal to 100% of the amount of the subsequent financing (or 80% in the case of a public offering or an offering of securities registered under a shelf registration statement on Form S-3) on the same terms, conditions and price provided for in the subsequent financing (the “Right of First Refusal”). The Right of First Refusal was effective commencing on May 29, 2025, until the first anniversary of the closing date of the April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Purchase Agreements provided that our board of directors (the “Board”) would appoint an individual designated by the purchasers that purchased at least 50.1% in interest of the shares of Class A common stock and pre-funded warrants issued in the April Private Placement based on the initial subscription amounts under the April Purchase Agreement to serve as a Class II director on the Board for a term expiring at our 2026 annual meeting of stockholders. In accordance with the foregoing, Mr. Guoquan (Paul) Huang was appointed to the Board effective as of April 16, 2025. The April Purchase Agreement further provides that the purchasers holding a 50.1% interest in the securities issued upon closing of the April Private Placement shall have the right to appoint an individual to our management team, subject to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our operations does not require significant expenditures on capital assets, nor do we typically enter into significant commitments to acquire capital assets. We do not have material commitments to acquire capital assets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there have been no material changes in our reported material cash requirements as described under “Liquidity and Capital Resources – Material Cash Requirements” in “Management’s Discussion and Analysis of Financial Condition and Results of Operations” in Part II, Item 7 of the 2025 Form 10-K.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items disclosed as critical accounting policies and estimates under “Liquidity and Capital Resources—Critical Accounting Policies and Estimates” in “Management’s Discussion and Analysis of Financial Condition and Results of Operations” in Part II, Item 7 of the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until such time as we are no longer considered to be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analysis of recently issued accounting standards are more fully described in our condensed consolidated financial statements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measure used by management to assess the Company’s operating performance, is defined as EBITDA, which is net income plus interest expense, depreciation and amortization, less income tax benefit (if any), adjusted to exclude: (i) gain from settlement of license liabilities and other agreements; (ii) gain from sale of gaming licenses; (iii) impairment of intangible assets; (iv) loss contingency expenses; and (v) stock-based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(the “Non-GAAP Measure”) is not a financial measure defined by U.S. generally accepted accounting principles (“U.S. GAAP”). Reconciliations of the Non-GAAP Measure to net income, its most directly comparable financial measure, calculated and presented in accordance with U.S. GAAP, are presented in the tables below. We use the Non-GAAP Measure to manage our business and evaluate our financial performance, as Adjusted EBITDA eliminates items that affect comparability between periods that we believe are not representative of our core ongoing operating business. Additionally, we believe that using the Non-GAAP Measure is useful to our investors because it enhances investors’ understanding and assessment of our normalized operating performance and facilitates comparisons to prior periods and our competitors’ results (who may define Adjusted EBITDA differently).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Measure is not a recognized term under U.S. GAAP and does not purport to be an alternative to revenue, income/loss from operations, net income, or cash flows from operations or as a measure of liquidity or any other performance measure derived in accordance with U.S. GAAP. Additionally, the Non-GAAP Measure is not intended to be a measure of free cash flows available for our discretionary use, as it does not consider certain cash requirements, such as interest payments, tax payments, working capital requirements and debt service requirements. The Non-GAAP Measure has limitations as an analytical tool, and investors should not consider it in isolation or as a substitute for our results as reported under U.S. GAAP. Management compensates for the limitations of using the Non-GAAP Measure by using it to supplement U.S. GAAP results to provide a more complete understanding of the factors and trends affecting the business than would be presented by using only measures in accordance with U.S. GAAP. Because not all companies use identical calculations, the Non-GAAP Measure may not be comparable to other similarly titled measures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from net income to Adjusted EBITDA for the respective periods presented:</w:t>
      </w:r>
    </w:p>
    <w:p>
      <w:pPr>
        <w:pStyle w:val="TextBody"/>
        <w:bidi w:val="0"/>
        <w:spacing w:before="0" w:after="0"/>
        <w:ind w:left="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5300"/>
        <w:gridCol w:w="60"/>
        <w:gridCol w:w="223"/>
        <w:gridCol w:w="1566"/>
        <w:gridCol w:w="60"/>
        <w:gridCol w:w="60"/>
        <w:gridCol w:w="223"/>
        <w:gridCol w:w="1566"/>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951,573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1,022,613</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3,205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13,010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176,049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252,057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1,130,827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1,287,680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Gain from settlement of purchase commitment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(175,460</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Gain from Settlement Agreement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(500,000</w:t>
            </w:r>
          </w:p>
        </w:tc>
        <w:tc>
          <w:tcPr>
            <w:tcW w:w="11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27,928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FFFFFF" w:val="clear"/>
            <w:tcMar>
              <w:bottom w:w="28" w:type="dxa"/>
            </w:tcMar>
            <w:vAlign w:val="center"/>
          </w:tcPr>
          <w:p>
            <w:pPr>
              <w:pStyle w:val="TableContents"/>
              <w:bidi w:val="0"/>
              <w:spacing w:before="0" w:after="283"/>
              <w:jc w:val="right"/>
              <w:rPr/>
            </w:pPr>
            <w:r>
              <w:rPr/>
              <w:t>375,031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shd w:fill="CCEEFF" w:val="clear"/>
            <w:tcMar>
              <w:bottom w:w="28" w:type="dxa"/>
            </w:tcMar>
            <w:vAlign w:val="center"/>
          </w:tcPr>
          <w:p>
            <w:pPr>
              <w:pStyle w:val="TableContents"/>
              <w:bidi w:val="0"/>
              <w:spacing w:before="0" w:after="283"/>
              <w:jc w:val="right"/>
              <w:rPr/>
            </w:pPr>
            <w:r>
              <w:rPr/>
              <w:t>1,533,786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shd w:fill="CCEEFF" w:val="clear"/>
            <w:tcMar>
              <w:bottom w:w="28" w:type="dxa"/>
            </w:tcMar>
            <w:vAlign w:val="center"/>
          </w:tcPr>
          <w:p>
            <w:pPr>
              <w:pStyle w:val="TableContents"/>
              <w:bidi w:val="0"/>
              <w:spacing w:before="0" w:after="283"/>
              <w:jc w:val="right"/>
              <w:rPr/>
            </w:pPr>
            <w:r>
              <w:rPr/>
              <w:t>612,220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$169,533 and $233,931 of amortization expenses included in cost of revenues for the three months ended March 31,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5" w:name="S_002"/>
      <w:bookmarkEnd w:id="57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6" w:name="S_003"/>
      <w:bookmarkEnd w:id="57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designed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our disclosure controls and procedures as of March 31, 2026. Based on this evaluation, our Chief Executive Officer and Chief Financial Officer have concluded that our disclosure controls and procedures were not effective as of March 31, 2026 because of the material weaknesses in our internal control over financial reporting (as defined in Rules 13a-15(f) and 15d-15(f) under the Exchange Act) as discussed in Part II, Item 9A, “</w:t>
      </w:r>
      <w:r>
        <w:rPr>
          <w:rFonts w:ascii="Times New Roman;Times;Serif" w:hAnsi="Times New Roman;Times;Serif"/>
          <w:b w:val="false"/>
          <w:i/>
          <w:caps w:val="false"/>
          <w:smallCaps w:val="false"/>
          <w:sz w:val="20"/>
        </w:rPr>
        <w:t>Controls and Procedures”</w:t>
      </w:r>
      <w:r>
        <w:rPr>
          <w:rFonts w:ascii="Times New Roman;Times;Serif" w:hAnsi="Times New Roman;Times;Serif"/>
          <w:b w:val="false"/>
          <w:i w:val="false"/>
          <w:caps w:val="false"/>
          <w:smallCaps w:val="false"/>
          <w:sz w:val="20"/>
        </w:rPr>
        <w:t xml:space="preserve"> of the 2025 Form 10-K, and that continued to exist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of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remediated the material weaknesses relating to (i) our failure to design and maintain effective monitoring procedures and controls to evaluate the effectiveness of our individual control activities; (ii) a lack of sufficient number of personnel with an appropriate level of accounting knowledge, training and experience to appropriately analyze, record and disclose accounting matters timely; and (iii) documentation of certain complex accounting analyses and significant accounting positions that were not contemporaneously reviewed independently of the preparer. We are actively engaged in the design and implementation of remedial measures to address the material weaknesses in our internal control over financial reporting. We are committed to improving our internal control processes and resolving our control deficiencies, including the material weaknesses identified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taken and will continue to take the actions described below to remediate the identified material weaknesses. As the remediation efforts are ongoing, we will continue to evaluate and work to improve our internal control over financial reporting and may implement additional measures, or modify the remedial actions described below, as considered appropriate, to remediate the identified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Steps taken to remediate the remaining material weaknesses include actions related to designing and maintaining effective monitoring procedures and controls to evaluate and monitor the effectiveness of our individual control activities, and minimum documentation requirements for significant accounting positions and management estimates, including consideration of underlying assumptions and judgments, where applicable, that are used in the financial statement preparation and reporting process. In addition, we have engaged qualified risk advisory consultants, with experience in evaluating internal controls over financial reporting, to further assist with our remediation efforts by independently assessing our monitoring procedures and controls, verifying segregation of duties are appropriately considered, and through performing tests of internal controls, verifying reviews over certain complex accounting analyses and significant accounting positions are performed by an independent reviewer, with an appropriate level of accounting knowledge, training,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design and operating effectiveness of internal controls across various business processes and accordingly, our management plans to continue its efforts to remediate the identified material weaknesses and remains committed to improving our internal control processes, activities and resolving identified deficiencies.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remediated, or if we identify further material weaknesses in our internal controls, our failure to establish and maintain effective disclosure controls and procedures and internal control over financial reporting could result in material misstatements in our consolidated financial statements and a failure to meet our reporting and financial obligations. We plan to make continued progress in the coming months on the remediation plans described in our 2025 Form 10-K, under Part II, Item 9A, “</w:t>
      </w:r>
      <w:r>
        <w:rPr>
          <w:rFonts w:ascii="Times New Roman;Times;Serif" w:hAnsi="Times New Roman;Times;Serif"/>
          <w:b w:val="false"/>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management’s evaluation pursuant to Rules 13a-15(d) and 15d-15(d) under the Exchange Act during the quarter ended March 31, 2026 that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7" w:name="S_004"/>
      <w:bookmarkEnd w:id="577"/>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8" w:name="S_005"/>
      <w:bookmarkEnd w:id="57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in this Report.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See Note 9 – </w:t>
      </w:r>
      <w:r>
        <w:rPr>
          <w:rFonts w:ascii="Times New Roman;Times;Serif" w:hAnsi="Times New Roman;Times;Serif"/>
          <w:b w:val="false"/>
          <w:i/>
          <w:caps w:val="false"/>
          <w:smallCaps w:val="false"/>
          <w:sz w:val="20"/>
        </w:rPr>
        <w:t xml:space="preserve">Commitments and Contingencies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xml:space="preserve"> in our condensed consolidated financial statements in this Report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9" w:name="S_006"/>
      <w:bookmarkEnd w:id="57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Report, you should carefully consider the factors discussed in “Risk Factors” in Part I, Item 1A of the 2025 Form 10-K, which could materially affect our business, financial condition or future results. The risks described in the 2025 Form 10-K are not the only risks facing us. Additional risks and uncertainties not currently known to us or that we currently deem to be immaterial may also materially adversely affect our business, financial condition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In connection with the audit of our consolidated financial statements for the years ended December 31, 2025 and 2024, we identified certain material weaknesses in our internal control over financial reporting that continue to exist. The material weaknesses identified relate to (i) our failure to design and maintain effective monitoring procedures and controls to evaluate the effectiveness of our individual control activities; (ii) a lack of sufficient number of personnel with an appropriate level of accounting knowledge, training and experience to appropriately analyze, record and disclose accounting matters timely; and (iii) documentation of certain complex accounting analyses and significant accounting positions that were not contemporaneously reviewed independently of the preparer. Our Chief Executive Officer and Chief Financial Officer have concluded that our disclosure controls and procedures were not effective as of March 31, 2026 because of the material weaknesses in our internal control over financial) as discussed in Part II, Item 9A, “Controls and Procedures” of the 2025 Form 10-K, and that continued to exist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and applicable listing requirements, investors may lose confidence in our financial reporting, and the share price of our Class A common stock may decline as a result. In addition, we could become subject to investigations by Nasdaq, the SEC or other regulatory authorities, which could require additional financial and management resources. </w:t>
      </w:r>
      <w:r>
        <w:rPr>
          <w:rFonts w:ascii="Times New Roman;Times;Serif" w:hAnsi="Times New Roman;Times;Serif"/>
          <w:b w:val="false"/>
          <w:i w:val="false"/>
          <w:caps w:val="false"/>
          <w:smallCaps w:val="false"/>
          <w:sz w:val="20"/>
          <w:shd w:fill="FFFFFF" w:val="clear"/>
        </w:rPr>
        <w:t>See Part II, Item 9A – “Controls and Procedures – Management’s Annual Report on Internal Control over Financial Reporting” of our Annual Report on Form 10-K for the year ended December 31, 2025 and Item 4 of this Quarterly Report on Form 10-Q for further information on material weaknesses and our remediation plans.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relatively small number of franchises for a significant portion of our revenues and profits.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a franchise model and a significant portion of our revenues has historically been derived from products based on a relatively small number of popular franchises, including our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franchise, which now accounts for the majority of our revenue. For the three months ended March 31, 2026 and 2025, revenues associated with our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franchise accounted for approximately 76% and 82% of our total revenue, respectively. For the three months ended March 31, 2026 and 2025, our top three customers accounted for 84% and 86% of our revenues, respectively. No other distribution channel accounted for 10% or more of our revenues in those periods. Our top four customers accounted for approximately 99% and 98% of our accounts receivable as of March 31, 2026 and December 31, 2025, respectively. No other distribution channel accounted for 10% or more of our accounts receivable in those periods. A reduction in sales from or loss of these distribution channels would have a material adverse effect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this dependence on a limited number of franchises, the failure to achieve anticipated results by one or more products based on these franchises, or the loss of any franchise, especially our two main distributors, could negatively impact our business. Additionally, if the popularity of a franchise declines, we may have to write off the unrecovered portion of the underlying intellectual property assets, which could negatively impact our business. In the future, we expect this trend to continue with a relatively limited number of franchises producing a disproportionately high percentage of our revenues and profits.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our charter documents and Delaware law could limit attempts by our stockholders to replace or remove our board of directors or current management and limit the market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have the effect of delaying or preventing changes in our board of directors or management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advance notice procedure for stockholder proposals to be brought before an annual meeting, including proposed nominations of persons for election to our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a classified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cumulative voting in the election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permitting our board of directors to issue preferred stock without stockholder approval;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our stockholders from acting by written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0" w:name="S_007"/>
      <w:bookmarkEnd w:id="58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equity securities during the quarter ended March 31, 2026, other than as reported in our Current Reports on Form 8-K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purchase any shares of our Class A common stock during the quarter ended March 31, 2026. On April 22, 2026, we repurchased 904,395 shares of Class A common stock at a price of $4.11 per share. Such repurchase was not part of a publicly announced repurchase plan or program. For further information, see the section titled “Recent Events” in Item 2. Management’s Discussion and Analysis of Financial Condition and Results of Operations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1" w:name="S_008"/>
      <w:bookmarkEnd w:id="58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2" w:name="S_009"/>
      <w:bookmarkEnd w:id="58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3" w:name="S_010"/>
      <w:bookmarkEnd w:id="58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Line of Credit Extension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Citibank extended the maturity date of the Citibank Promissory Note by one year to February 20, 2028. For further information on the Credit Agreement with Citibank and the Citibank Promissory Note, see the section titled “Liquidity and Capital Resources—Citibank Line of Credit” in Item 2. Management’s Discussion and Analysis of Financial Condition and Results of Operations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none of our directors or officers (as defined in Exchange Act Rule 16a-1(f)) </w:t>
      </w:r>
      <w:bookmarkStart w:id="584" w:name="xdx_90D_eecd--NonRule10b51ArrAdoptedFlag"/>
      <w:bookmarkStart w:id="585" w:name="xdx_900_eecd--Rule10b51ArrAdoptedFlag_db"/>
      <w:bookmarkEnd w:id="584"/>
      <w:bookmarkEnd w:id="585"/>
      <w:r>
        <w:rPr>
          <w:rFonts w:ascii="Times New Roman;Times;Serif" w:hAnsi="Times New Roman;Times;Serif"/>
          <w:b w:val="false"/>
          <w:i w:val="false"/>
          <w:caps w:val="false"/>
          <w:smallCaps w:val="false"/>
          <w:sz w:val="20"/>
        </w:rPr>
        <w:t xml:space="preserve">adopted or </w:t>
      </w:r>
      <w:bookmarkStart w:id="586" w:name="xdx_902_eecd--NonRule10b51ArrTrmntdFlag_"/>
      <w:bookmarkStart w:id="587" w:name="xdx_90B_eecd--Rule10b51ArrTrmntdFlag_dbF"/>
      <w:bookmarkEnd w:id="586"/>
      <w:bookmarkEnd w:id="587"/>
      <w:r>
        <w:rPr>
          <w:rFonts w:ascii="Times New Roman;Times;Serif" w:hAnsi="Times New Roman;Times;Serif"/>
          <w:b w:val="false"/>
          <w:i w:val="false"/>
          <w:caps w:val="false"/>
          <w:smallCaps w:val="false"/>
          <w:sz w:val="20"/>
        </w:rPr>
        <w:t>terminated a “Rule 10b5–1 trading arrangement” or a “non-Rule 10b5–1 trading arrangement,” each as defined in Item 408 of Regulation 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8" w:name="S_011"/>
      <w:bookmarkEnd w:id="588"/>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
        <w:gridCol w:w="60"/>
        <w:gridCol w:w="4847"/>
        <w:gridCol w:w="60"/>
        <w:gridCol w:w="500"/>
        <w:gridCol w:w="60"/>
        <w:gridCol w:w="756"/>
        <w:gridCol w:w="60"/>
        <w:gridCol w:w="902"/>
        <w:gridCol w:w="60"/>
        <w:gridCol w:w="654"/>
        <w:gridCol w:w="60"/>
        <w:gridCol w:w="1269"/>
      </w:tblGrid>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9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4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 Herewith</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to the Certificate of Incorporation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Certificate of Amendment to the Certificate of Incorporation, as amended,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Amendment No. 1 to the 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Amendment No. 2 to the Bylaws of Motorsport Games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Business Loan Agreement, dated February 20, 2026, by and between Motorsport Games Inc. and Citibank, N.A.</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Promissory Note, dated February 20, 2026, by and between Motorsport Games Inc. and Citibank, N.A.</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Statement of Terms and Conditions of Employment, dated March 27, 2026, by and between Motorsport Games Ltd. And Stephen Hood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Executive Employment Agreement, dated March 27, 2026, by and between Motorsport Games Inc. and Stanley Beckley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Share Repurchase Agreement, dated April 22, 2026, by and between Motorsport Games Inc. and Driven Lifestyle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to the Amended and Restated Motorsport Games Inc. 2021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under the Exchange Act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under the Exchange Act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1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with applicable taxonomy extension information contained in Exhibits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9" w:name="S_012"/>
      <w:bookmarkEnd w:id="58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1655"/>
        <w:gridCol w:w="365"/>
        <w:gridCol w:w="365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40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pPr>
      <w:bookmarkStart w:id="590" w:name="ex31-1.htm"/>
      <w:bookmarkStart w:id="591" w:name="ksex311"/>
      <w:bookmarkEnd w:id="590"/>
      <w:bookmarkEnd w:id="59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OR RULE 15d-14(a) OF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Hood,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Motorsport Games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592" w:name="ex31-2.htm"/>
      <w:bookmarkStart w:id="593" w:name="ksex312"/>
      <w:bookmarkEnd w:id="592"/>
      <w:bookmarkEnd w:id="59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OR RULE 15d-14(a) OF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Stanley Beckley,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Motorsport Games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594" w:name="ex32-1.htm"/>
      <w:bookmarkStart w:id="595" w:name="ksex321"/>
      <w:bookmarkEnd w:id="594"/>
      <w:bookmarkEnd w:id="59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Motorsport Games Inc. (the “Company”) for the quarter ended March 31, 2026, as filed with the Securities and Exchange Commission on the date hereof (the “Report”), each of the undersigned, Stephen Hood, Chief Executive Officer of the Company, and Stanley Beckley, Chief Financial Officer of the Company, hereby certifies, pursuant to 18 U.S.C. Section 1350, as adopted pursuant to Section 906 of the Sarbanes-Oxley Act of 2002, that, to his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75/000149315221000678/ex3-3.htm" TargetMode="External"/><Relationship Id="rId3" Type="http://schemas.openxmlformats.org/officeDocument/2006/relationships/hyperlink" Target="https://www.sec.gov/Archives/edgar/data/1821175/000149315222031215/ex3-1.htm" TargetMode="External"/><Relationship Id="rId4" Type="http://schemas.openxmlformats.org/officeDocument/2006/relationships/hyperlink" Target="https://www.sec.gov/Archives/edgar/data/1821175/000149315222031215/ex3-1.htm" TargetMode="External"/><Relationship Id="rId5" Type="http://schemas.openxmlformats.org/officeDocument/2006/relationships/hyperlink" Target="https://www.sec.gov/Archives/edgar/data/1821175/000149315221000678/ex3-4.htm" TargetMode="External"/><Relationship Id="rId6" Type="http://schemas.openxmlformats.org/officeDocument/2006/relationships/hyperlink" Target="https://www.sec.gov/Archives/edgar/data/1821175/000149315222031215/ex3-2.htm" TargetMode="External"/><Relationship Id="rId7" Type="http://schemas.openxmlformats.org/officeDocument/2006/relationships/hyperlink" Target="https://www.sec.gov/Archives/edgar/data/1821175/000149315226018755/ex3-2.htm" TargetMode="External"/><Relationship Id="rId8" Type="http://schemas.openxmlformats.org/officeDocument/2006/relationships/hyperlink" Target="https://www.sec.gov/Archives/edgar/data/1821175/000149315226008070/ex10-1.htm" TargetMode="External"/><Relationship Id="rId9" Type="http://schemas.openxmlformats.org/officeDocument/2006/relationships/hyperlink" Target="https://www.sec.gov/Archives/edgar/data/1821175/000149315226008070/ex10-2.htm" TargetMode="External"/><Relationship Id="rId10" Type="http://schemas.openxmlformats.org/officeDocument/2006/relationships/hyperlink" Target="https://www.sec.gov/Archives/edgar/data/1821175/000149315226014925/ex10-1.htm" TargetMode="External"/><Relationship Id="rId11" Type="http://schemas.openxmlformats.org/officeDocument/2006/relationships/hyperlink" Target="https://www.sec.gov/Archives/edgar/data/1821175/000149315226014925/ex10-2.htm" TargetMode="External"/><Relationship Id="rId12" Type="http://schemas.openxmlformats.org/officeDocument/2006/relationships/hyperlink" Target="https://www.sec.gov/Archives/edgar/data/1821175/000149315226018755/ex10-1.htm" TargetMode="External"/><Relationship Id="rId13" Type="http://schemas.openxmlformats.org/officeDocument/2006/relationships/hyperlink" Target="https://www.sec.gov/Archives/edgar/data/1821175/000149315226018755/ex10-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21542</Words>
  <Characters>118672</Characters>
  <CharactersWithSpaces>141959</CharactersWithSpaces>
  <Paragraphs>5994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