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HOOD STEPHEN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3350 SW 148TH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MIRAMAR,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Motorsport Games Inc.</w:t>
              </w:r>
            </w:hyperlink>
            <w:r>
              <w:rPr/>
              <w:t xml:space="preserve"> [ </w:t>
            </w:r>
            <w:r>
              <w:rPr>
                <w:rFonts w:ascii="Times;serif" w:hAnsi="Times;serif"/>
                <w:color w:val="0000FF"/>
                <w:sz w:val="24"/>
                <w:shd w:fill="FFFFFF" w:val="clear"/>
              </w:rPr>
              <w:t>MSGM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100,000</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Class A Common Stock. The RSUs vest as follows: (i) 33,333 shares on the date of grant; (ii) 33,333 shares vest on the earlier of the 6-month anniversary of the grant or upon the occurrence of a Change of Control (as defined in the Amended and Restated 2021 Equity Incentive Plan); and (iii) 33,334 shares vest on the earlier of the one-year anniversary of the grantor upon the occurrence of a Change of Control, subject to the Mr. Hood's continued service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Hood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caps w:val="false"/>
          <w:smallCaps w:val="false"/>
        </w:rPr>
      </w:pPr>
      <w:bookmarkStart w:id="2" w:name="ex24-1.htm"/>
      <w:bookmarkStart w:id="3" w:name="ksex24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POWER OF ATTORNEY FOR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REPORTING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makes, constitutes and appoints each of Peter Hansen-Chambers and/or Stanley Beckley of Motorsport Games Inc. (the “Company”), signing individually, the undersigned’s true and lawful attorney-in-fact and agent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 execute on behalf of the undersigned, and submit to the U.S. Securities and Exchange Commission (the “SEC”) any documents necessary or advisable to obtain EDGAR access codes or make any updates to the undersigned’s EDGAR access codes once obtained, enabling the undersigned to make electronic filings of reports with the SEC;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 for and on behalf of the undersigned, an officer, director or holder of 10% of more of a registered class of securities of the Company, Forms 3, 4 and 5 in accordance with Section 16(a) of the Securities Exchange Act of 1934, as amended (the “Exchange Act”) and the rules thereunder;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and perform any and all acts for and on behalf of the undersigned that may be necessary or desirable to complete and execute such Form 3, 4 or 5, complete and execute any amendment or amendments thereto, and timely file such forms or amendments with the SEC and any stock exchange or similar authority;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until such attorney-in-fact shall no longer be employed by the Company,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August 3, 2026.</w:t>
      </w:r>
    </w:p>
    <w:p>
      <w:pPr>
        <w:pStyle w:val="TextBody"/>
        <w:bidi w:val="0"/>
        <w:spacing w:before="0" w:after="0"/>
        <w:ind w:left="0" w:right="0" w:hanging="0"/>
        <w:jc w:val="left"/>
        <w:rPr>
          <w:caps w:val="false"/>
          <w:smallCaps w:val="false"/>
        </w:rPr>
      </w:pPr>
      <w:r>
        <w:rPr>
          <w:caps w:val="false"/>
          <w:smallCaps w:val="false"/>
        </w:rPr>
        <w:t> </w:t>
      </w:r>
    </w:p>
    <w:tbl>
      <w:tblPr>
        <w:tblW w:w="1505" w:type="dxa"/>
        <w:jc w:val="left"/>
        <w:tblInd w:w="0" w:type="dxa"/>
        <w:tblLayout w:type="fixed"/>
        <w:tblCellMar>
          <w:top w:w="0" w:type="dxa"/>
          <w:left w:w="0" w:type="dxa"/>
          <w:bottom w:w="0" w:type="dxa"/>
          <w:right w:w="0" w:type="dxa"/>
        </w:tblCellMar>
      </w:tblPr>
      <w:tblGrid>
        <w:gridCol w:w="75"/>
        <w:gridCol w:w="14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Stephen Hood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Hood</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6897" TargetMode="External"/><Relationship Id="rId5" Type="http://schemas.openxmlformats.org/officeDocument/2006/relationships/hyperlink" Target="http://www.sec.gov/cgi-bin/browse-edgar?action=getcompany&amp;CIK=00018211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1205</Words>
  <Characters>6337</Characters>
  <CharactersWithSpaces>7481</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