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560" w:space="720"/>
            <w:col w:w="280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40" w:right="339" w:bottom="1440" w:gutter="0" w:footer="0" w:header="0"/>
          <w:type w:val="continuous"/>
        </w:sectPr>
      </w:pPr>
    </w:p>
    <w:p>
      <w:pPr>
        <w:spacing w:after="0" w:line="22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7"/>
          <w:szCs w:val="17"/>
          <w:color w:val="auto"/>
        </w:rPr>
        <w:t>Class A common stock, $0.0001 par value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MSGM</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Stock Market LLC (The Nasdaq Capital Market)</w:t>
      </w:r>
    </w:p>
    <w:p>
      <w:pPr>
        <w:spacing w:after="0" w:line="175" w:lineRule="exact"/>
        <w:rPr>
          <w:sz w:val="24"/>
          <w:szCs w:val="24"/>
          <w:color w:val="auto"/>
        </w:rPr>
      </w:pPr>
    </w:p>
    <w:p>
      <w:pPr>
        <w:sectPr>
          <w:pgSz w:w="11900" w:h="16838" w:orient="portrait"/>
          <w:cols w:equalWidth="0" w:num="3">
            <w:col w:w="4200" w:space="720"/>
            <w:col w:w="1800" w:space="720"/>
            <w:col w:w="3800"/>
          </w:cols>
          <w:pgMar w:left="320" w:top="740"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2024, the Nasdaq Stock Market LLC (“Nasdaq”) notified Motorsport Games Inc. (the “Company”) that, based on Nasdaq’s review of the Company and the materials submitted by the Company to Nasdaq, Nasdaq’s staff has determined to grant the Company an extension to regain compliance with Nasdaq’s minimum $2,500,000 stockholders’ equity requirement set forth in Listing Rule 5550(b)(1) (the “NCM Equity Rule”), until May 15, 2024, subject to the Company’s regaining and evidencing compliance with the NCM Equity Rule by such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deficiency with respect to the Company’s compliance with the NCM Equity Rule was disclosed in the Company’s Current Report on Form 8-K filed by the Company on November 22, 2023. In the event the Company does not regain and evidence compliance with the NCM Equity Rule by May 15, 2024, Nasdaq’s staff will provide written notification to the Company that its securities may be subject to delisting. Further, if the Company fails to evidence compliance upon filing its periodic report for June 30, 2024, with the SEC and Nasdaq the Company may be subject to delisting. At that time, the Company may appeal Nasdaq’s staff’s determination to a Listing Qualifications Panel.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plans to regain and evidence compliance with the NCM Equity Rule prior to May 15, 2024. To regain compliance with Nasdaq’s minimum $2,500,000 stockholders’ equity requirement threshold, the Company plans to negotiate and implement equity financing transactions and negotiate reductions of its licensing liabilities; provided that there can be no assurances that such financing transactions and reductions of its licensing liabilities will be consummated or that they will achieve their intended effects.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“safe harbor” provisions of the Private Securities Litigation Reform Act of 1995. All statements other than those that are purely historical are forward-looking statements. Words such as “expect,” “anticipate,” “believe,” “estimate,” “intend,” “plan,” “project,” and similar expressions also identify forward looking statements. Forward-looking statements include, but are not limited to: (i) statements concerning the Company’s intent to regain and/or evidence compliance with the NCM Equity Rule prior to May 15, 2024; and (ii) the Company’s plans to negotiate and implement available options to regain compliance with the NCM Equity Rule, such as potential equity financing arrangements or similar transactions and/or reductions of its licensing liabilities. 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(i) the Company’s ability to obtain equity financing arrangements or similar transactions and/or negotiate reductions of its licensing liabilities; (ii) submit evidence of compliance to Nasdaq in a timely manner; and Nasdaq’s acceptance of such evidence of compliance; or (iii) the Company’s ability to otherwise maintain compliance with any other continued listing requirement of The Nasdaq Capital Market. Additional information regarding risks and uncertainties associated with the Company’s business and a discussion of some of the factors that may cause actual results to differ materially from the results expressed or implied by such forward-looking statements can be found in the Company’s filings with the Securities and Exchange Commission (the “SEC”), including the “Risk Factors” and “Management’s Discussion and Analysis of Financial Condition and Results of Operations” sections of the Company’s Annual Report on Form 10-K for the fiscal year ended December 31, 2022, its Quarterly Reports on Form 10-Q filed with the SEC during 2023, as well as in its subsequent filings with the SEC. These forward-looking statements are based on information as of the date hereof, and the Company assumes no obligation to publicly update or revise its forward-looking statements even if experience or future changes make it clear that any projected results expressed or implied therein will not be realized.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6,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Stephen Hood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2024-02-06T12:21:56Z</dcterms:created>
  <dcterms:modified xsi:type="dcterms:W3CDTF">2024-02-06T12:21:56Z</dcterms:modified>
</cp:coreProperties>
</file>