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001-39868</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86-1791356</w:t>
            </w:r>
          </w:p>
        </w:tc>
      </w:tr>
      <w:tr>
        <w:trPr>
          <w:trHeight w:val="216"/>
        </w:trPr>
        <w:tc>
          <w:tcPr>
            <w:tcW w:w="422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2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7"/>
              </w:rPr>
              <w:t>3350 SW 148</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 Suite 207</w:t>
            </w:r>
          </w:p>
        </w:tc>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Miramar, FL</w:t>
            </w:r>
          </w:p>
        </w:tc>
        <w:tc>
          <w:tcPr>
            <w:tcW w:w="238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33027</w:t>
            </w:r>
          </w:p>
        </w:tc>
      </w:tr>
      <w:tr>
        <w:trPr>
          <w:trHeight w:val="234"/>
        </w:trPr>
        <w:tc>
          <w:tcPr>
            <w:tcW w:w="660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413-0812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2026, Motorsport Games Inc. (the “Company”) convened its 2026 Annual Meeting of Stockholders (the “Annual Meeting”). At that time, there were not present or represented by proxy a sufficient number of shares of the Company’s common stock to constitute a quorum. The Company adjourned the Annual Meeting, without any business being conducted. The Annual Meeting will reconvene at 11:00 A.M. Eastern Time on April 21, 2026, at the Company’s corporate headquarters located at 3350 SW 148th Avenue, Suite 207, Miramar, Florida 33027.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remains February 27, 2026. Stockholders of the Company who have previously submitted their proxy or otherwise voted and who do not want to change their vote do not need to take any 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 changes have been made in the proposals to be voted on by stockholders at the Annual Meeting. The Company strongly encourages all of its stockholders to read the Company’s definitive proxy statement on Schedule 14A, filed with the Securities and Exchange Commission (the “SEC”) on March 16, 2026 (the “Proxy Statement”) and other proxy materials relating to the Annual Meeting, which are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current adjournment, the Company will continue to solicit votes from its stockholders with respect to the proposals set forth in the Proxy Statement.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17, 2026, the Company issued a press release to announce the adjournment, which is furnished as Exhibit 99.1 to this Current Report on Form 8-K. The information in the press release furnished as Exhibit 99.1 hereto shall not be deemed “filed” for purposes of Section 18 of the Securities Exchange Act of 1934, as amended (the “Exchange Act”), or otherwise subject to the liabilities of that section, or incorporated by reference into any of the Company’s filings under the Securities Act of 1933, as amended, or the Exchange Act, except as shall be expressly set forth by specific reference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8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44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Motorsport Games Inc., dated April 17, 2026</w:t>
            </w:r>
          </w:p>
        </w:tc>
        <w:tc>
          <w:tcPr>
            <w:tcW w:w="5660" w:type="dxa"/>
            <w:vAlign w:val="bottom"/>
            <w:tcBorders>
              <w:top w:val="single" w:sz="8" w:color="auto"/>
            </w:tcBorders>
          </w:tcPr>
          <w:p>
            <w:pPr>
              <w:spacing w:after="0"/>
              <w:rPr>
                <w:sz w:val="24"/>
                <w:szCs w:val="24"/>
                <w:color w:val="auto"/>
              </w:rPr>
            </w:pPr>
          </w:p>
        </w:tc>
      </w:tr>
    </w:tbl>
    <w:p>
      <w:pPr>
        <w:spacing w:after="0" w:line="9" w:lineRule="exact"/>
        <w:rPr>
          <w:sz w:val="20"/>
          <w:szCs w:val="20"/>
          <w:color w:val="auto"/>
        </w:rPr>
      </w:pPr>
    </w:p>
    <w:p>
      <w:pPr>
        <w:ind w:left="5580" w:right="4360" w:hanging="5572"/>
        <w:spacing w:after="0" w:line="532" w:lineRule="auto"/>
        <w:tabs>
          <w:tab w:leader="none" w:pos="11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Announces Adjournment of Annual Meeting of Shareholders Due to Lack of Quorum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MIRAMAR, Florida, April 17, 2026— </w:t>
      </w:r>
      <w:r>
        <w:rPr>
          <w:rFonts w:ascii="Times New Roman" w:cs="Times New Roman" w:eastAsia="Times New Roman" w:hAnsi="Times New Roman"/>
          <w:sz w:val="18"/>
          <w:szCs w:val="18"/>
          <w:color w:val="auto"/>
        </w:rPr>
        <w:t>Motorsport Games Inc. (NASDAQ: MSGM) (“Motorsport Games” or the “Company”), a racing game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publisher, and esports ecosystem provider of official motorsport racing series, today announced that the Company’s annual meeting of shareholders, on April 17, 2026, at 11:00 a.m. Eastern Time was convened and adjourned, without any business being conducted, due to lack of the required quorum.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meeting will reconvene at 11:00 a.m. Eastern Time on Tuesday April 21, 2026, at the Company’s corporate headquarters located at 3350 SW 148th Avenue, Suite 207, Miramar, Florida 33027.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adjournment, the Company will continue to solicit votes from its shareholders with respect to the proposals set forth in the Company’s definitive proxy statement filed with the United States Securities and Exchange Commission on March 16,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encourages all shareholders of record as of the record date of February 27, 2026, who have not yet voted, to do so by Monday April 20, 2026, at 11:59 p.m. Eastern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Le Mans Ultimate Version 1.3 featuring new cars, updated 2025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Le Mans Virtual Series. Motorsport Games is building a virtual racing ecosystem where each product drives excitement, every esports event is an adventure, and every race inspires.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Motorsport Games visit: </w:t>
      </w:r>
      <w:r>
        <w:rPr>
          <w:rFonts w:ascii="Times New Roman" w:cs="Times New Roman" w:eastAsia="Times New Roman" w:hAnsi="Times New Roman"/>
          <w:sz w:val="18"/>
          <w:szCs w:val="18"/>
          <w:u w:val="single" w:color="auto"/>
          <w:color w:val="auto"/>
        </w:rPr>
        <w:t>www.motorsportgames.com.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the related conference call and webcast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the statements concerning building a virtual racing ecosystem where each product drives excitement, every esports event is an adventure, and every race inspires.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All forward-looking statements involve significant risks and uncertainties that could cause actual results to differ materially from those expressed or implied in the forward-looking statements, many of which are generally outside the control of the Company and are difficult to predict. Examples of such risks and uncertainties include, without limitation, the ability to make racing games that are authentically close to reality and build a virtual racing ecosystem where each product drives excitement, every esports event is an adventure, and every race inspires.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from those expressed or implied in the forward-looking statements can be found in the Company’s filings with the SEC, including its Annual Report on Form 10-K for the fiscal year ended December 31, 2025, as well as in its subsequent filings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w:t>
      </w:r>
      <w:r>
        <w:rPr>
          <w:rFonts w:ascii="Times New Roman" w:cs="Times New Roman" w:eastAsia="Times New Roman" w:hAnsi="Times New Roman"/>
          <w:sz w:val="18"/>
          <w:szCs w:val="18"/>
          <w:u w:val="single" w:color="auto"/>
          <w:color w:val="auto"/>
        </w:rPr>
        <w:t>ir.motorsportgames.com</w:t>
      </w:r>
      <w:r>
        <w:rPr>
          <w:rFonts w:ascii="Times New Roman" w:cs="Times New Roman" w:eastAsia="Times New Roman" w:hAnsi="Times New Roman"/>
          <w:sz w:val="18"/>
          <w:szCs w:val="18"/>
          <w:color w:val="auto"/>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Websites</w:t>
            </w:r>
          </w:p>
        </w:tc>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Social Media</w:t>
            </w:r>
          </w:p>
        </w:tc>
      </w:tr>
      <w:tr>
        <w:trPr>
          <w:trHeight w:val="169"/>
        </w:trPr>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motorsportgames.com</w:t>
            </w:r>
          </w:p>
        </w:tc>
        <w:tc>
          <w:tcPr>
            <w:tcW w:w="3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0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Twitter: @msportgames</w:t>
            </w:r>
          </w:p>
        </w:tc>
      </w:tr>
      <w:tr>
        <w:trPr>
          <w:trHeight w:val="20"/>
        </w:trPr>
        <w:tc>
          <w:tcPr>
            <w:tcW w:w="16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Instagram: msportgames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Facebook: Motorsport 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3380" w:type="dxa"/>
            <w:vAlign w:val="bottom"/>
            <w:tcBorders>
              <w:left w:val="single" w:sz="8" w:color="auto"/>
            </w:tcBorders>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LinkedIn: Motorsport Games</w:t>
            </w:r>
          </w:p>
        </w:tc>
      </w:tr>
      <w:tr>
        <w:trPr>
          <w:trHeight w:val="20"/>
        </w:trPr>
        <w:tc>
          <w:tcPr>
            <w:tcW w:w="1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Investors@motorsportgames.com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PR@motorsportgames.com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2026-04-17T16:33:37Z</dcterms:created>
  <dcterms:modified xsi:type="dcterms:W3CDTF">2026-04-17T16:33:37Z</dcterms:modified>
</cp:coreProperties>
</file>