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Hansen-Chambers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3350 SW 148TH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MIRAMAR,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Motorsport Games Inc.</w:t>
              </w:r>
            </w:hyperlink>
            <w:r>
              <w:rPr/>
              <w:t xml:space="preserve"> [ </w:t>
            </w:r>
            <w:r>
              <w:rPr>
                <w:rFonts w:ascii="Times;serif" w:hAnsi="Times;serif"/>
                <w:color w:val="0000FF"/>
                <w:sz w:val="24"/>
                <w:shd w:fill="FFFFFF" w:val="clear"/>
              </w:rPr>
              <w:t>MSGM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12,500</w:t>
            </w:r>
            <w:r>
              <w:rPr>
                <w:rFonts w:ascii="Times;serif" w:hAnsi="Times;serif"/>
                <w:color w:val="008000"/>
                <w:position w:val="7"/>
                <w:sz w:val="16"/>
                <w:sz w:val="20"/>
                <w:shd w:fill="FFFFFF" w:val="clear"/>
              </w:rPr>
              <w:t>(1)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12,500</w:t>
            </w:r>
            <w:r>
              <w:rPr>
                <w:rFonts w:ascii="Times;serif" w:hAnsi="Times;serif"/>
                <w:color w:val="008000"/>
                <w:position w:val="7"/>
                <w:sz w:val="16"/>
                <w:sz w:val="20"/>
                <w:shd w:fill="FFFFFF" w:val="clear"/>
              </w:rPr>
              <w:t>(1)</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12,500</w:t>
            </w:r>
            <w:r>
              <w:rPr>
                <w:rFonts w:ascii="Times;serif" w:hAnsi="Times;serif"/>
                <w:color w:val="008000"/>
                <w:position w:val="7"/>
                <w:sz w:val="16"/>
                <w:sz w:val="20"/>
                <w:shd w:fill="FFFFFF" w:val="clear"/>
              </w:rPr>
              <w:t>(2)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 The RSUs vest (i) 4,133 shares on the first anniversary of the date of grant, (ii) 4,133 shares on the earlier of a Change of Control (as defined in the Amended and Restated 2021 Equity Incentive Plan) and the second anniversary of the date of grant, and (iii) 4,134 shares on the earlier of a Change of Control and the first anniversary of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12,500 performance-based restricted stock units ("PSUs") granted under the Plan. The number of PSUs earned is based on the Company's total shareholder return measured over a three-year performance period, with one-third of the target PSUs measured with respect to each of Year 1, Year 2, and Year 3. Any earned PSUs remain subject to a service-based vesting condition and do not vest until the end of the three-year performance period, subject to Mr. Hansen-Chambers' continued employment through such date, or earlier upon a Change of -Control, subject to his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Hansen-Chambers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1980" TargetMode="External"/><Relationship Id="rId5" Type="http://schemas.openxmlformats.org/officeDocument/2006/relationships/hyperlink" Target="http://www.sec.gov/cgi-bin/browse-edgar?action=getcompany&amp;CIK=00018211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761</Words>
  <Characters>4058</Characters>
  <CharactersWithSpaces>4742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