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Beckley Stanley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3350 SW 148TH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 The RSUs vest as follows: (i) 8,333 shares vest on the earlier of the date of grant; (ii) 8,333 shares vest on the earlier of 6-month anniversary of the grant or a Change of Control (as defined in the Amended and Restated 2021 Equity Incentive Plan); and (iii) 8,334 shares vest on the earlier of the one-year anniversary of the grant or a Change of Control, subject to the Mr. Stanley's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Stanley Beckley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caps w:val="false"/>
          <w:smallCaps w:val="false"/>
        </w:rPr>
      </w:pPr>
      <w:bookmarkStart w:id="2" w:name="ex24-1.htm"/>
      <w:bookmarkStart w:id="3" w:name="ksex24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POWER OF ATTORNEY FOR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each of Peter Hansen-Chambers and/or Stephen Hood of Motorsport Games Inc. (the “Company”), signing individually,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on behalf of the undersigned, and submit to the U.S. Securities and Exchange Commission (the “SEC”) any documents necessary or advisable to obtain EDGAR access codes or make any updates to the undersigned’s EDGAR access codes once obtained, enabling the undersigned to make electronic filings of reports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that may be necessary or desirable to complete and execute such Form 3, 4 or 5, complete and execute any amendment or amendments thereto, and timely file such forms or amendments with the SEC and any stock exchange or similar authority;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August 3, 2026.</w:t>
      </w:r>
    </w:p>
    <w:p>
      <w:pPr>
        <w:pStyle w:val="TextBody"/>
        <w:bidi w:val="0"/>
        <w:spacing w:before="0" w:after="0"/>
        <w:ind w:left="0" w:right="0" w:hanging="0"/>
        <w:jc w:val="left"/>
        <w:rPr>
          <w:caps w:val="false"/>
          <w:smallCaps w:val="false"/>
        </w:rPr>
      </w:pPr>
      <w:r>
        <w:rPr>
          <w:caps w:val="false"/>
          <w:smallCaps w:val="false"/>
        </w:rPr>
        <w:t> </w:t>
      </w:r>
    </w:p>
    <w:tbl>
      <w:tblPr>
        <w:tblW w:w="1640" w:type="dxa"/>
        <w:jc w:val="left"/>
        <w:tblInd w:w="0" w:type="dxa"/>
        <w:tblLayout w:type="fixed"/>
        <w:tblCellMar>
          <w:top w:w="0" w:type="dxa"/>
          <w:left w:w="0" w:type="dxa"/>
          <w:bottom w:w="0" w:type="dxa"/>
          <w:right w:w="0" w:type="dxa"/>
        </w:tblCellMar>
      </w:tblPr>
      <w:tblGrid>
        <w:gridCol w:w="75"/>
        <w:gridCol w:w="1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Beckley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Beckley</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8499"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1201</Words>
  <Characters>6320</Characters>
  <CharactersWithSpaces>7460</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