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form8a-12b.htm"/>
      <w:bookmarkStart w:id="1" w:name="ksform8a12b"/>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Motorsport Games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000"/>
        <w:gridCol w:w="60"/>
        <w:gridCol w:w="1565"/>
      </w:tblGrid>
      <w:tr>
        <w:trPr/>
        <w:tc>
          <w:tcPr>
            <w:tcW w:w="20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86-1791356</w:t>
            </w:r>
          </w:p>
        </w:tc>
      </w:tr>
      <w:tr>
        <w:trPr/>
        <w:tc>
          <w:tcPr>
            <w:tcW w:w="20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of incorporation </w:t>
              <w:br/>
              <w:t>or organization)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3350 SW 148th Avenue, Suite 207, Miramar, FL 33027</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 including zip code)</w:t>
      </w:r>
    </w:p>
    <w:p>
      <w:pPr>
        <w:pStyle w:val="TextBody"/>
        <w:shd w:fill="FFFFFF" w:val="clear"/>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650" w:type="dxa"/>
        <w:jc w:val="left"/>
        <w:tblInd w:w="0" w:type="dxa"/>
        <w:shd w:fill="FFFFFF" w:val="clear"/>
        <w:tblLayout w:type="fixed"/>
        <w:tblCellMar>
          <w:top w:w="0" w:type="dxa"/>
          <w:left w:w="0" w:type="dxa"/>
          <w:bottom w:w="0" w:type="dxa"/>
          <w:right w:w="0" w:type="dxa"/>
        </w:tblCellMar>
      </w:tblPr>
      <w:tblGrid>
        <w:gridCol w:w="2780"/>
        <w:gridCol w:w="60"/>
        <w:gridCol w:w="2810"/>
      </w:tblGrid>
      <w:tr>
        <w:trPr/>
        <w:tc>
          <w:tcPr>
            <w:tcW w:w="278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so registered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class is to be registered</w:t>
            </w:r>
          </w:p>
        </w:tc>
      </w:tr>
      <w:tr>
        <w:trPr/>
        <w:tc>
          <w:tcPr>
            <w:tcW w:w="27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Purchase Rights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approved and adopted a preferred stock rights agreement and authorized and declared a dividend distribution of one right (each, a “</w:t>
      </w:r>
      <w:r>
        <w:rPr>
          <w:rFonts w:ascii="Times New Roman;Times;Serif" w:hAnsi="Times New Roman;Times;Serif"/>
          <w:b w:val="false"/>
          <w:i w:val="false"/>
          <w:caps w:val="false"/>
          <w:smallCaps w:val="false"/>
          <w:sz w:val="20"/>
          <w:u w:val="single"/>
        </w:rPr>
        <w:t>Right</w:t>
      </w:r>
      <w:r>
        <w:rPr>
          <w:rFonts w:ascii="Times New Roman;Times;Serif" w:hAnsi="Times New Roman;Times;Serif"/>
          <w:b w:val="false"/>
          <w:i w:val="false"/>
          <w:caps w:val="false"/>
          <w:smallCaps w:val="false"/>
          <w:sz w:val="20"/>
        </w:rPr>
        <w:t>”) for each outstanding share of Class A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to stockholders of record as of the close of business on August 3,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complete terms of the Rights are set forth in a Preferred Stock Rights Agreement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dated as of July 22, 2026, by and between the Company and ClearTrust, LLC, a Florida limited liability company, as rights agent.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terms, the Rights Agreement imposes significant dilution upon any person or group (other than the Company and certain other Exempt Persons (as defined below)), that is or becomes the beneficial owner of twelve and a half percent (12.5%) or more of the Common Stock following the first public announcement by the Company of the adoption of the Rights Agreement. The term “beneficial ownership” is defined in the Rights Agreement and, as more fully discussed below, includes, among other things, certain derivative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terms of the Rights Agreement. The summary does not purport to be complete and is qualified in its entirety by reference to the complete text of the Rights Agreement, a copy of which is filed as Exhibit 4.1 to this Registration Statement on Form 8-A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Rights</w:t>
      </w:r>
      <w:r>
        <w:rPr>
          <w:rFonts w:ascii="Times New Roman;Times;Serif" w:hAnsi="Times New Roman;Times;Serif"/>
          <w:b w:val="false"/>
          <w:i w:val="false"/>
          <w:caps w:val="false"/>
          <w:smallCaps w:val="false"/>
          <w:sz w:val="20"/>
        </w:rPr>
        <w:t>. Each Right entitles its registered holder, subject to the terms of the Rights Agreement, to purchase from the Company one one-thousandth of a share of Series A Participating Preferred Stock, par value $0.0001 per share (the “</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of the Company at a purchase price of $25.00 per Right, subject to adjustment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Rights will attach to any shares of Common Stock that become outstanding after the Record Date and prior to the earlier of the Distribution Time (as defined below), the Redemption Date (as defined below), the Final Expiration Time (as defined below), and in certain other circumstances described in the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Time, the surrender for transfer of any shares of Common Stock will also constitute the transfer of the Rights associated with those shares and the Rights shall only trade with the Common Stock.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not exercisable prior to the Distribution Time and, thereafter, become exercisable only after such time as the Rights become no longer redeemable by the Company. Upon the Distribution Time, any Rights held by an Acquiring Person (as defined below), its affiliates and associates, and certain transferees thereof become null and void and may not be exercised.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 Separation and Distribution of Rights</w:t>
      </w:r>
      <w:r>
        <w:rPr>
          <w:rFonts w:ascii="Times New Roman;Times;Serif" w:hAnsi="Times New Roman;Times;Serif"/>
          <w:b w:val="false"/>
          <w:i w:val="false"/>
          <w:caps w:val="false"/>
          <w:smallCaps w:val="false"/>
          <w:sz w:val="20"/>
        </w:rPr>
        <w:t>. Subject to certain exceptions and the Rights becoming no longer redeemable, the Rights become exercisable and will be transferrable separately from the Common Stock from and after the “</w:t>
      </w:r>
      <w:r>
        <w:rPr>
          <w:rFonts w:ascii="Times New Roman;Times;Serif" w:hAnsi="Times New Roman;Times;Serif"/>
          <w:b w:val="false"/>
          <w:i w:val="false"/>
          <w:caps w:val="false"/>
          <w:smallCaps w:val="false"/>
          <w:sz w:val="20"/>
          <w:u w:val="single"/>
        </w:rPr>
        <w:t>Distribution Time</w:t>
      </w:r>
      <w:r>
        <w:rPr>
          <w:rFonts w:ascii="Times New Roman;Times;Serif" w:hAnsi="Times New Roman;Times;Serif"/>
          <w:b w:val="false"/>
          <w:i w:val="false"/>
          <w:caps w:val="false"/>
          <w:smallCaps w:val="false"/>
          <w:sz w:val="20"/>
        </w:rPr>
        <w:t>,” which occurs upon the earlier of:</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close of business on the tenth (10th) business day (or such later date as may be determined by the Board) after the earliest day on which a public disclosure is made indicating that a person or group of affiliated or associated persons has acquired, or obtained the right to acquire, beneficial ownership of twelve and a half percent (12.5%) or more of the Common Stock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the public disclosure of facts by the Company or an Acquiring Person that reveals the existence of an Acquiring Person or indicating that an Acquiring Person has become an Acquiring Person, or the Board becoming aware of the existence of an Acquiring Person (the “</w:t>
            </w:r>
            <w:r>
              <w:rPr>
                <w:rFonts w:ascii="Times New Roman;Times;Serif" w:hAnsi="Times New Roman;Times;Serif"/>
                <w:b w:val="false"/>
                <w:i w:val="false"/>
                <w:caps w:val="false"/>
                <w:smallCaps w:val="false"/>
                <w:sz w:val="20"/>
                <w:u w:val="single"/>
              </w:rPr>
              <w:t>Shares Acquisition Date</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close of business on the tenth (10th) business day (or such later date as may be determined by the Board) after the date of the commencement of, or first public announcement of the intent of any Person (other than an Exempt Person) to commence, a tender or exchange offer the consummation of which would result in any person (other than an Exempt Person) becoming an Acquiring Person.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Distribution Time, the Rights separate from the Common Stock and become transferable apart from the Common Stock. After the Distribution Time, the Company will mail Rights certificates to the Company’s stockholders and such Rights certificates alone will represent the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 Persons</w:t>
      </w:r>
      <w:r>
        <w:rPr>
          <w:rFonts w:ascii="Times New Roman;Times;Serif" w:hAnsi="Times New Roman;Times;Serif"/>
          <w:b w:val="false"/>
          <w:i w:val="false"/>
          <w:caps w:val="false"/>
          <w:smallCaps w:val="false"/>
          <w:sz w:val="20"/>
        </w:rPr>
        <w:t>. The following entities and persons are exempted from being deemed an “Acquiring Person” and, accordingly their acquisition of beneficial ownership of twelve and a half percent (12.5%) or more of the Common Stock will not result in the occurrence of a Distribution Time: (i) the Company, (ii) any subsidiary of the Company, (iii) any officers, directors, and employees of the Company or any of its subsidiaries solely in respect of such person’s status or authority as such (including, without limitation any fiduciary capacity), (iv) any employee stock ownership plan, employee benefit plan, or other compensation program or arrangement of the Company or of any of its subsidiaries, or any person holding Common Shares for or pursuant to the terms of any such plan, program, or arrangement or for the purpose of funding any such plan, program, or arrangement, and (v) any person organized, appointed, or established by the Company or any of its Subsidiaries for or pursuant to the terms of any such plan, program, or arrangement during the time such person acts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Existing Holders</w:t>
      </w:r>
      <w:r>
        <w:rPr>
          <w:rFonts w:ascii="Times New Roman;Times;Serif" w:hAnsi="Times New Roman;Times;Serif"/>
          <w:b w:val="false"/>
          <w:i w:val="false"/>
          <w:caps w:val="false"/>
          <w:smallCaps w:val="false"/>
          <w:sz w:val="20"/>
        </w:rPr>
        <w:t>. In addition, any person who, together with its affiliates and associates, beneficially owns, immediately prior to the time of the first public announcement of the adoption of the Rights Agreement twelve and a half percent (12.5%) or more of the Common Stock then outstanding will not become an Acquiring Person unless such person, after the time of the public announcement of the Rights Agreement, becomes the beneficial owner of any additional shares of Common Stock (other than pursuant to a dividend or distribution paid or made by the Company on the Common Stock in the form of shares of Common Stock or pursuant to a split or subdivision of the Common Stock). However, if upon acquiring beneficial ownership of one or more additional shares of Common Stock, such person does not beneficially own twelve and a half percent (12.5%) or more of the Common Stock then outstanding, such person shall not be deemed to be an “Acquiring Person” for purposes of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Inadvertent Acquisitions.</w:t>
      </w:r>
      <w:r>
        <w:rPr>
          <w:rFonts w:ascii="Times New Roman;Times;Serif" w:hAnsi="Times New Roman;Times;Serif"/>
          <w:b w:val="false"/>
          <w:i w:val="false"/>
          <w:caps w:val="false"/>
          <w:smallCaps w:val="false"/>
          <w:sz w:val="20"/>
        </w:rPr>
        <w:t xml:space="preserve"> The Rights Agreement also provides that certain inadvertent acquisitions of the Common Stock will not trigger the occurrence of the Distribution Time.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Series A Preferred Stock Purchase Rights.</w:t>
      </w:r>
      <w:r>
        <w:rPr>
          <w:rFonts w:ascii="Times New Roman;Times;Serif" w:hAnsi="Times New Roman;Times;Serif"/>
          <w:b w:val="false"/>
          <w:i w:val="false"/>
          <w:caps w:val="false"/>
          <w:smallCaps w:val="false"/>
          <w:sz w:val="20"/>
        </w:rPr>
        <w:t xml:space="preserve"> Each one one-thousandth of a share of Series A Preferred Stock, if issued upon the exercise of the Rights (i) will not be redeemable; (ii) will entitle holders to quarterly dividend payments, when and if declared, of $0.001 per one one-thousandth of a share of Series A Preferred Stock, or an amount equal to the dividend paid on one share of Common Stock, whichever is greater; (iii) will entitle holders upon liquidation either to receive $1.00 per one one-thousandth of a share of Series A Preferred Stock or an amount equal to the payment made on one share of Common Stock, whichever is greater; (iv) will have the same voting power as one share of Common Stock and will vote together with the Common Stock; and (v) will entitle holders to a payment per one one-thousandth of a share of Series A Preferred Stock equal to the payment made on one share of Common Stock if the Common Stock is exchanged via merger, consolidation, or a similar transaction. Because of the nature of the Series A Preferred Stock’s dividend, liquidation, and voting rights, the value of one one-thousandth of a share of Series A Preferred Stock purchasable upon exercise of each Right should approximate the value of one share of Common Stock. The terms of the Series A Preferred Stock are set forth in a Certificate of Designations that is being filed by the Company with the Secretary of State of the State of Delaware on or about July 23, 2026 (the “</w:t>
      </w:r>
      <w:r>
        <w:rPr>
          <w:rFonts w:ascii="Times New Roman;Times;Serif" w:hAnsi="Times New Roman;Times;Serif"/>
          <w:b w:val="false"/>
          <w:i w:val="false"/>
          <w:caps w:val="false"/>
          <w:smallCaps w:val="false"/>
          <w:sz w:val="20"/>
          <w:u w:val="single"/>
        </w:rPr>
        <w:t>Series A Certificate of Designations</w:t>
      </w:r>
      <w:r>
        <w:rPr>
          <w:rFonts w:ascii="Times New Roman;Times;Serif" w:hAnsi="Times New Roman;Times;Serif"/>
          <w:b w:val="false"/>
          <w:i w:val="false"/>
          <w:caps w:val="false"/>
          <w:smallCaps w:val="false"/>
          <w:sz w:val="20"/>
        </w:rPr>
        <w:t>”). A copy of the Series A Certificate of Designations is filed as Exhibit 3.1 to this Registration Statement on Form 8-A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Flip-In Trigger</w:t>
      </w:r>
      <w:r>
        <w:rPr>
          <w:rFonts w:ascii="Times New Roman;Times;Serif" w:hAnsi="Times New Roman;Times;Serif"/>
          <w:b w:val="false"/>
          <w:i w:val="false"/>
          <w:caps w:val="false"/>
          <w:smallCaps w:val="false"/>
          <w:sz w:val="20"/>
        </w:rPr>
        <w:t>. If an Acquiring Person obtains beneficial ownership of twelve and a half percent (12.5%) or more of the Common Stock, then each Right will entitle the holder thereof to purchase, for the Purchase Price, a number of shares of Common Stock (or, in certain circumstances, cash, property, or other securities of the Company) having a then-current market value of twice the Purchase Price. However, the Rights are not exercisable following the occurrence of the foregoing event until such time as the Rights are no longer redeemable by the Company,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occurrence of an event set forth in the preceding paragraph, all Rights that are or, under certain circumstances specified in the Rights Agreement, were beneficially owned by an Acquiring Person, its affiliates and associates, and certain of its transferees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Flip-Over Trigger</w:t>
      </w:r>
      <w:r>
        <w:rPr>
          <w:rFonts w:ascii="Times New Roman;Times;Serif" w:hAnsi="Times New Roman;Times;Serif"/>
          <w:b w:val="false"/>
          <w:i w:val="false"/>
          <w:caps w:val="false"/>
          <w:smallCaps w:val="false"/>
          <w:sz w:val="20"/>
        </w:rPr>
        <w:t>. If, at any time on or following the date that an Acquiring Person obtain beneficial ownership of twelve and a half percent (12.5%) or more of the Common Stock, directly or indirectly (i) the Company consolidates with, or merges with and into, any other person (other than a subsidiary of the Company), and the Company shall not be the continuing or surviving corporation or other entity of such consolidation or merger, (ii) any person (other than a subsidiary of the Company) consolidates with, or merges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the Company) or cash or any other property, or (iii) the Company sells or otherwise transfers (or one or more of its subsidiaries sells or otherwise transfers), in one transaction or a series of related transactions, assets, cash flow, or earning power aggregating fifty percent (50%) or more of the assets, cash flow, or earning power of the Company and its subsidiaries (taken as a whole and calculated on the basis of the Company’s most recent regularly prepared financial statements) to any person or persons (other than the Company or any subsidiary of the Company), then each Right (except for Rights that have previously been voided as set forth above) will entitle the holder thereof to purchase, for the Purchase Price, a number of shares of common stock of the person with whom the Company has engaged in the foregoing transaction (or its parent) having a then-current market value of twice the Purchase Price, based on the market price of such person’s stock prior to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of the Rights.</w:t>
      </w:r>
      <w:r>
        <w:rPr>
          <w:rFonts w:ascii="Times New Roman;Times;Serif" w:hAnsi="Times New Roman;Times;Serif"/>
          <w:b w:val="false"/>
          <w:i w:val="false"/>
          <w:caps w:val="false"/>
          <w:smallCaps w:val="false"/>
          <w:sz w:val="20"/>
        </w:rPr>
        <w:t xml:space="preserve"> At any time prior to the earlier of the Distribution Time and the Final Expiration Time, the Board of Directors of the Company may, at its option, redeem the Rights in whole, but not in part, at a price of $0.001 per Right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payable, at the option of the Company, in cash, shares of Common Stock, or such other form of consideration as the Board of Directors of the Company shall determine.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 The Redemption Price will be adjusted if the Company undertakes a stock dividend or a stock split.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Provision</w:t>
      </w:r>
      <w:r>
        <w:rPr>
          <w:rFonts w:ascii="Times New Roman;Times;Serif" w:hAnsi="Times New Roman;Times;Serif"/>
          <w:b w:val="false"/>
          <w:i w:val="false"/>
          <w:caps w:val="false"/>
          <w:smallCaps w:val="false"/>
          <w:sz w:val="20"/>
        </w:rPr>
        <w:t>. At any time after the Distribution Time and prior to the acquisition by the Acquiring Person of fifty percent (50%)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preferred stock, cash, debt or equity securities, property, or a combination thereof having a value approximately equal to one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Expiration of the Rights</w:t>
      </w:r>
      <w:r>
        <w:rPr>
          <w:rFonts w:ascii="Times New Roman;Times;Serif" w:hAnsi="Times New Roman;Times;Serif"/>
          <w:b w:val="false"/>
          <w:i w:val="false"/>
          <w:caps w:val="false"/>
          <w:smallCaps w:val="false"/>
          <w:sz w:val="20"/>
        </w:rPr>
        <w:t>. The Rights will expire on the earliest of (i) 5:00 p.m., New York City time, on July 20, 2027, (the “</w:t>
      </w:r>
      <w:r>
        <w:rPr>
          <w:rFonts w:ascii="Times New Roman;Times;Serif" w:hAnsi="Times New Roman;Times;Serif"/>
          <w:b w:val="false"/>
          <w:i w:val="false"/>
          <w:caps w:val="false"/>
          <w:smallCaps w:val="false"/>
          <w:sz w:val="20"/>
          <w:u w:val="single"/>
        </w:rPr>
        <w:t>Final Expiration Time</w:t>
      </w:r>
      <w:r>
        <w:rPr>
          <w:rFonts w:ascii="Times New Roman;Times;Serif" w:hAnsi="Times New Roman;Times;Serif"/>
          <w:b w:val="false"/>
          <w:i w:val="false"/>
          <w:caps w:val="false"/>
          <w:smallCaps w:val="false"/>
          <w:sz w:val="20"/>
        </w:rPr>
        <w:t>”), (ii) the date that the Board determines to make the redemption effective; and (iii) the time at which the Rights are exchanged in full by the Company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Amendment of the Rights Agreement. </w:t>
      </w:r>
      <w:r>
        <w:rPr>
          <w:rFonts w:ascii="Times New Roman;Times;Serif" w:hAnsi="Times New Roman;Times;Serif"/>
          <w:b w:val="false"/>
          <w:i w:val="false"/>
          <w:caps w:val="false"/>
          <w:smallCaps w:val="false"/>
          <w:sz w:val="20"/>
        </w:rPr>
        <w:t>For so long as the Rights are redeemable, the Company may in its sole discretion supplement or amend the Rights Agreement in any respect without the approval of any holders of the Rights, the Series A Preferred Stock, or the Common Stock. However, from and after the time when the Rights are no longer redeemable, the Rights Agreement may not be supplemented or amended in any manner that would (i) adversely affect the interests of the holders of Rights (other than an Acquiring Person, its affiliates and associates, and the transferees or nominees thereof, (ii) cause the Rights again to become redeemable, or (iii) cause the Rights Agreement to become amendable other than in accordance with the original amendment provisions of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and Other Stockholder Rights</w:t>
      </w:r>
      <w:r>
        <w:rPr>
          <w:rFonts w:ascii="Times New Roman;Times;Serif" w:hAnsi="Times New Roman;Times;Serif"/>
          <w:b w:val="false"/>
          <w:i w:val="false"/>
          <w:caps w:val="false"/>
          <w:smallCaps w:val="false"/>
          <w:sz w:val="20"/>
        </w:rPr>
        <w:t>. Until a Right is exercised, the holder thereof, as such, will have no rights as a stockholder of the Company beyond those as an existing stockholder, including, without limitation, the right to vote or to receive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Antidilution and Other Adjustments</w:t>
      </w:r>
      <w:r>
        <w:rPr>
          <w:rFonts w:ascii="Times New Roman;Times;Serif" w:hAnsi="Times New Roman;Times;Serif"/>
          <w:b w:val="false"/>
          <w:i w:val="false"/>
          <w:caps w:val="false"/>
          <w:smallCaps w:val="false"/>
          <w:sz w:val="20"/>
        </w:rPr>
        <w:t>. The Board may adjust the Purchase Price, the number of shares of Series A Preferred Stock issuable, and the number of outstanding Rights to prevent dilution that may occur from a stock dividend, a stock split, or a reclassification of the Series A Preferred Stock or Common Stock. With certain exceptions, no adjustments to the Purchase Price will be made until the cumulative adjustments amount to at least one percent (1%) of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Miscellaneous</w:t>
      </w:r>
      <w:r>
        <w:rPr>
          <w:rFonts w:ascii="Times New Roman;Times;Serif" w:hAnsi="Times New Roman;Times;Serif"/>
          <w:b w:val="false"/>
          <w:i w:val="false"/>
          <w:caps w:val="false"/>
          <w:smallCaps w:val="false"/>
          <w:sz w:val="20"/>
        </w:rPr>
        <w:t>. While the distribution of the Rights will not be taxable to stockholders or to the Company, stockholders may, depending upon the circumstances, recognize taxable income in the event that the Rights become exercisable for Common Stock (or other consideration) or for common stock of an acquiring company or in the event of the redemption of the Rights as described above.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listed below are filed as exhibits to this Registration Statement on Form 8-A: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0"/>
        <w:gridCol w:w="60"/>
        <w:gridCol w:w="4732"/>
        <w:gridCol w:w="60"/>
        <w:gridCol w:w="500"/>
        <w:gridCol w:w="60"/>
        <w:gridCol w:w="814"/>
        <w:gridCol w:w="60"/>
        <w:gridCol w:w="795"/>
        <w:gridCol w:w="60"/>
        <w:gridCol w:w="721"/>
        <w:gridCol w:w="60"/>
        <w:gridCol w:w="1473"/>
      </w:tblGrid>
      <w:tr>
        <w:trPr/>
        <w:tc>
          <w:tcPr>
            <w:tcW w:w="81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 Herewith</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shd w:fill="FFFF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Certificate of Designations of Series A Participating Preferred Stock of Motorsport Games Inc. dated July 22, 2026.</w:t>
              </w:r>
            </w:hyperlink>
            <w:r>
              <w:rPr>
                <w:rFonts w:ascii="Times New Roman;Times;Serif" w:hAnsi="Times New Roman;Times;Serif"/>
                <w:b w:val="false"/>
                <w:i w:val="false"/>
                <w:caps w:val="false"/>
                <w:smallCaps w:val="false"/>
                <w:sz w:val="20"/>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001-39868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shd w:fill="FFFF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Certificate of Incorporation of Motorsport Games Inc.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60"/>
        <w:gridCol w:w="7301"/>
        <w:gridCol w:w="60"/>
        <w:gridCol w:w="408"/>
        <w:gridCol w:w="60"/>
        <w:gridCol w:w="913"/>
        <w:gridCol w:w="60"/>
        <w:gridCol w:w="275"/>
        <w:gridCol w:w="60"/>
        <w:gridCol w:w="581"/>
        <w:gridCol w:w="60"/>
        <w:gridCol w:w="77"/>
      </w:tblGrid>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Certificate of Amendment to the Certificate of Incorporation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Certificate of Amendment to the Certificate of Incorporation, as amended,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5/26/26</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Bylaws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Amendment No. 1 to the Bylaws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Amendment No. 2 to the Bylaws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5/26/26</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Certificate of Merger of 704Games LLC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4/20/21</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Preferred Stock Rights Agreement, dated as of July 22, 2026, by and between Motorsport Games Inc. and ClearTrust, LLC, as Rights Agent.</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7/23/26</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sz w:val="4"/>
                <w:szCs w:val="4"/>
              </w:rPr>
            </w:pPr>
            <w:r>
              <w:rPr>
                <w:sz w:val="4"/>
                <w:szCs w:val="4"/>
              </w:rPr>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Form of the Class A Common Stock Certificate of Motorsport Games Inc.</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333-251501</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vAlign w:val="center"/>
          </w:tcPr>
          <w:p>
            <w:pPr>
              <w:pStyle w:val="TableContents"/>
              <w:bidi w:val="0"/>
              <w:spacing w:before="0" w:after="283"/>
              <w:jc w:val="left"/>
              <w:rPr/>
            </w:pPr>
            <w:r>
              <w:rPr/>
              <w:t> </w:t>
            </w:r>
          </w:p>
        </w:tc>
        <w:tc>
          <w:tcPr>
            <w:tcW w:w="7301" w:type="dxa"/>
            <w:tcBorders/>
            <w:shd w:fill="FFFFFF" w:val="cle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Description of Motorsport Games Inc.’s Securities Registered under Section 12 of the Exchange Act</w:t>
              </w:r>
            </w:hyperlink>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001-39868</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3/24/23</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firstLine="72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730"/>
        <w:gridCol w:w="320"/>
        <w:gridCol w:w="363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23, 2026</w:t>
            </w:r>
          </w:p>
        </w:tc>
        <w:tc>
          <w:tcPr>
            <w:tcW w:w="395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MOTORSPORT GAMES INC.</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Stephen Hood</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Stephen Hood</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and President</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75/000149315226034333/ex3-1.htm" TargetMode="External"/><Relationship Id="rId3" Type="http://schemas.openxmlformats.org/officeDocument/2006/relationships/hyperlink" Target="https://www.sec.gov/Archives/edgar/data/1821175/000149315221000678/ex3-3.htm" TargetMode="External"/><Relationship Id="rId4" Type="http://schemas.openxmlformats.org/officeDocument/2006/relationships/hyperlink" Target="https://www.sec.gov/Archives/edgar/data/1821175/000149315222031215/ex3-1.htm" TargetMode="External"/><Relationship Id="rId5" Type="http://schemas.openxmlformats.org/officeDocument/2006/relationships/hyperlink" Target="https://www.sec.gov/Archives/edgar/data/1821175/000149315226025242/ex3-1.htm" TargetMode="External"/><Relationship Id="rId6" Type="http://schemas.openxmlformats.org/officeDocument/2006/relationships/hyperlink" Target="https://www.sec.gov/Archives/edgar/data/1821175/000149315221000678/ex3-4.htm" TargetMode="External"/><Relationship Id="rId7" Type="http://schemas.openxmlformats.org/officeDocument/2006/relationships/hyperlink" Target="https://www.sec.gov/Archives/edgar/data/1821175/000149315222031215/ex3-2.htm" TargetMode="External"/><Relationship Id="rId8" Type="http://schemas.openxmlformats.org/officeDocument/2006/relationships/hyperlink" Target="https://www.sec.gov/Archives/edgar/data/1821175/000149315226025242/ex3-2.htm" TargetMode="External"/><Relationship Id="rId9" Type="http://schemas.openxmlformats.org/officeDocument/2006/relationships/hyperlink" Target="https://www.sec.gov/Archives/edgar/data/1821175/000149315221009203/ex3-1.htm" TargetMode="External"/><Relationship Id="rId10" Type="http://schemas.openxmlformats.org/officeDocument/2006/relationships/hyperlink" Target="https://www.sec.gov/Archives/edgar/data/1821175/000149315226034333/ex4-1.htm" TargetMode="External"/><Relationship Id="rId11" Type="http://schemas.openxmlformats.org/officeDocument/2006/relationships/hyperlink" Target="https://www.sec.gov/Archives/edgar/data/1821175/000149315220023938/ex4-1.htm" TargetMode="External"/><Relationship Id="rId12" Type="http://schemas.openxmlformats.org/officeDocument/2006/relationships/hyperlink" Target="https://www.sec.gov/Archives/edgar/data/1821175/000149315223008878/e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3094</Words>
  <Characters>15804</Characters>
  <CharactersWithSpaces>19042</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